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CA929">
      <w:pPr>
        <w:spacing w:before="87" w:line="224" w:lineRule="auto"/>
        <w:ind w:left="3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-15"/>
          <w:sz w:val="27"/>
          <w:szCs w:val="27"/>
        </w:rPr>
        <w:t>附</w:t>
      </w:r>
      <w:r>
        <w:rPr>
          <w:rFonts w:ascii="黑体" w:hAnsi="黑体" w:eastAsia="黑体" w:cs="黑体"/>
          <w:spacing w:val="-47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7"/>
          <w:szCs w:val="27"/>
        </w:rPr>
        <w:t>件</w:t>
      </w:r>
      <w:r>
        <w:rPr>
          <w:rFonts w:ascii="黑体" w:hAnsi="黑体" w:eastAsia="黑体" w:cs="黑体"/>
          <w:spacing w:val="-32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7"/>
          <w:szCs w:val="27"/>
        </w:rPr>
        <w:t>1</w:t>
      </w:r>
    </w:p>
    <w:p w14:paraId="66A87697">
      <w:pPr>
        <w:spacing w:before="311" w:line="220" w:lineRule="auto"/>
        <w:ind w:left="330" w:firstLine="748" w:firstLineChars="20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napToGrid w:val="0"/>
          <w:color w:val="000000"/>
          <w:spacing w:val="7"/>
          <w:kern w:val="0"/>
          <w:sz w:val="36"/>
          <w:szCs w:val="36"/>
          <w:lang w:val="en-US" w:eastAsia="zh-CN" w:bidi="ar-SA"/>
        </w:rPr>
        <w:t>上武高速公路基础设施提升改造项目监理（第二次）</w:t>
      </w:r>
      <w:r>
        <w:rPr>
          <w:rFonts w:ascii="黑体" w:hAnsi="黑体" w:eastAsia="黑体" w:cs="黑体"/>
          <w:snapToGrid w:val="0"/>
          <w:color w:val="000000"/>
          <w:spacing w:val="7"/>
          <w:kern w:val="0"/>
          <w:sz w:val="36"/>
          <w:szCs w:val="36"/>
          <w:lang w:val="en-US" w:eastAsia="en-US" w:bidi="ar-SA"/>
        </w:rPr>
        <w:t>中标候选人相关信息公示根据《</w:t>
      </w:r>
      <w:r>
        <w:rPr>
          <w:rFonts w:hint="eastAsia" w:ascii="黑体" w:hAnsi="黑体" w:eastAsia="黑体" w:cs="黑体"/>
          <w:snapToGrid w:val="0"/>
          <w:color w:val="000000"/>
          <w:spacing w:val="7"/>
          <w:kern w:val="0"/>
          <w:sz w:val="36"/>
          <w:szCs w:val="36"/>
          <w:lang w:val="en-US" w:eastAsia="zh-CN" w:bidi="ar-SA"/>
        </w:rPr>
        <w:t>上武高速公路基础设施提升改造项目监理（第二次）</w:t>
      </w:r>
      <w:r>
        <w:rPr>
          <w:rFonts w:ascii="黑体" w:hAnsi="黑体" w:eastAsia="黑体" w:cs="黑体"/>
          <w:spacing w:val="6"/>
          <w:sz w:val="36"/>
          <w:szCs w:val="36"/>
        </w:rPr>
        <w:t>》第二章“投标人须知”第7.1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6"/>
          <w:sz w:val="36"/>
          <w:szCs w:val="36"/>
        </w:rPr>
        <w:t>款规定，现将本次中标候选人相关信息公示如下：</w:t>
      </w:r>
    </w:p>
    <w:p w14:paraId="339CDA28">
      <w:pPr>
        <w:pStyle w:val="2"/>
        <w:spacing w:line="244" w:lineRule="auto"/>
      </w:pPr>
    </w:p>
    <w:p w14:paraId="4D498E1F">
      <w:pPr>
        <w:pStyle w:val="2"/>
        <w:spacing w:line="244" w:lineRule="auto"/>
      </w:pPr>
    </w:p>
    <w:p w14:paraId="4927EB3C">
      <w:pPr>
        <w:spacing w:before="1"/>
      </w:pPr>
    </w:p>
    <w:p w14:paraId="1FE64222">
      <w:pPr>
        <w:spacing w:before="1"/>
      </w:pPr>
    </w:p>
    <w:tbl>
      <w:tblPr>
        <w:tblStyle w:val="6"/>
        <w:tblpPr w:leftFromText="180" w:rightFromText="180" w:vertAnchor="text" w:horzAnchor="page" w:tblpX="3231" w:tblpY="1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1"/>
        <w:gridCol w:w="4498"/>
        <w:gridCol w:w="2681"/>
      </w:tblGrid>
      <w:tr w14:paraId="13C5D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2591" w:type="dxa"/>
            <w:noWrap w:val="0"/>
            <w:vAlign w:val="center"/>
          </w:tcPr>
          <w:p w14:paraId="34CF2A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中标候选人排名</w:t>
            </w:r>
          </w:p>
        </w:tc>
        <w:tc>
          <w:tcPr>
            <w:tcW w:w="4498" w:type="dxa"/>
            <w:noWrap w:val="0"/>
            <w:vAlign w:val="center"/>
          </w:tcPr>
          <w:p w14:paraId="544331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投标人名称</w:t>
            </w:r>
          </w:p>
        </w:tc>
        <w:tc>
          <w:tcPr>
            <w:tcW w:w="2681" w:type="dxa"/>
            <w:noWrap w:val="0"/>
            <w:vAlign w:val="center"/>
          </w:tcPr>
          <w:p w14:paraId="1ADFD0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投标报价（元）</w:t>
            </w:r>
          </w:p>
          <w:p w14:paraId="134FB6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/投标费率</w:t>
            </w:r>
          </w:p>
        </w:tc>
      </w:tr>
      <w:tr w14:paraId="4AA6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2591" w:type="dxa"/>
            <w:noWrap w:val="0"/>
            <w:vAlign w:val="center"/>
          </w:tcPr>
          <w:p w14:paraId="415C36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第一中标候选人</w:t>
            </w:r>
          </w:p>
        </w:tc>
        <w:tc>
          <w:tcPr>
            <w:tcW w:w="4498" w:type="dxa"/>
            <w:noWrap w:val="0"/>
            <w:vAlign w:val="center"/>
          </w:tcPr>
          <w:p w14:paraId="279715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北京中咨路捷工程咨询有限公司</w:t>
            </w:r>
          </w:p>
        </w:tc>
        <w:tc>
          <w:tcPr>
            <w:tcW w:w="2681" w:type="dxa"/>
            <w:noWrap w:val="0"/>
            <w:vAlign w:val="center"/>
          </w:tcPr>
          <w:p w14:paraId="4184921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1701664</w:t>
            </w:r>
          </w:p>
          <w:p w14:paraId="258196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/1.0962％</w:t>
            </w:r>
          </w:p>
        </w:tc>
      </w:tr>
    </w:tbl>
    <w:p w14:paraId="54D4C0BB">
      <w:pPr>
        <w:spacing w:before="1"/>
      </w:pPr>
    </w:p>
    <w:p w14:paraId="30FBCBFC">
      <w:pPr>
        <w:spacing w:before="1"/>
      </w:pPr>
    </w:p>
    <w:p w14:paraId="6ADF8DBB">
      <w:pPr>
        <w:spacing w:before="1"/>
      </w:pPr>
    </w:p>
    <w:p w14:paraId="00B2F2CB">
      <w:pPr>
        <w:spacing w:before="1"/>
      </w:pPr>
    </w:p>
    <w:p w14:paraId="6FC1231A">
      <w:pPr>
        <w:spacing w:before="1"/>
      </w:pPr>
    </w:p>
    <w:p w14:paraId="77F8A5A4">
      <w:pPr>
        <w:spacing w:before="1"/>
      </w:pPr>
    </w:p>
    <w:p w14:paraId="1E6641F9">
      <w:pPr>
        <w:spacing w:before="1"/>
      </w:pPr>
    </w:p>
    <w:p w14:paraId="78E8C6F3">
      <w:pPr>
        <w:spacing w:before="1"/>
      </w:pPr>
    </w:p>
    <w:p w14:paraId="4353A114">
      <w:pPr>
        <w:spacing w:before="1"/>
      </w:pPr>
    </w:p>
    <w:p w14:paraId="73379911">
      <w:pPr>
        <w:spacing w:before="1"/>
      </w:pPr>
    </w:p>
    <w:p w14:paraId="2963B489">
      <w:pPr>
        <w:spacing w:before="1"/>
      </w:pPr>
    </w:p>
    <w:p w14:paraId="67465979">
      <w:pPr>
        <w:spacing w:before="1"/>
      </w:pPr>
    </w:p>
    <w:p w14:paraId="302CC2E5">
      <w:pPr>
        <w:spacing w:before="1"/>
      </w:pPr>
    </w:p>
    <w:p w14:paraId="72259837">
      <w:pPr>
        <w:spacing w:before="1"/>
      </w:pPr>
    </w:p>
    <w:p w14:paraId="1BA96F95">
      <w:pPr>
        <w:spacing w:before="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第一中标候选人</w:t>
      </w:r>
      <w:r>
        <w:rPr>
          <w:rFonts w:hint="eastAsia" w:eastAsia="宋体"/>
          <w:b/>
          <w:bCs/>
          <w:sz w:val="32"/>
          <w:szCs w:val="32"/>
          <w:lang w:eastAsia="zh-CN"/>
        </w:rPr>
        <w:t>：</w:t>
      </w:r>
      <w:r>
        <w:rPr>
          <w:rFonts w:hint="eastAsia"/>
          <w:b/>
          <w:bCs/>
          <w:sz w:val="32"/>
          <w:szCs w:val="32"/>
        </w:rPr>
        <w:t>北京中咨路捷工程咨询有限公司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86"/>
        <w:gridCol w:w="900"/>
        <w:gridCol w:w="700"/>
        <w:gridCol w:w="1722"/>
        <w:gridCol w:w="133"/>
        <w:gridCol w:w="3124"/>
        <w:gridCol w:w="4374"/>
        <w:gridCol w:w="1597"/>
      </w:tblGrid>
      <w:tr w14:paraId="6C588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3750" w:type="dxa"/>
            <w:gridSpan w:val="9"/>
            <w:noWrap w:val="0"/>
            <w:vAlign w:val="center"/>
          </w:tcPr>
          <w:p w14:paraId="546BDE8A">
            <w:pPr>
              <w:pStyle w:val="9"/>
              <w:spacing w:before="129" w:line="220" w:lineRule="auto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一、对监理质量要求、安全目标和监理服务期限的响应情况</w:t>
            </w:r>
          </w:p>
        </w:tc>
      </w:tr>
      <w:tr w14:paraId="5DAFB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522" w:type="dxa"/>
            <w:gridSpan w:val="5"/>
            <w:noWrap w:val="0"/>
            <w:vAlign w:val="center"/>
          </w:tcPr>
          <w:p w14:paraId="06F3EEFA">
            <w:pPr>
              <w:pStyle w:val="9"/>
              <w:spacing w:before="129" w:line="220" w:lineRule="auto"/>
              <w:ind w:firstLine="648" w:firstLineChars="300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质量要求</w:t>
            </w:r>
          </w:p>
        </w:tc>
        <w:tc>
          <w:tcPr>
            <w:tcW w:w="9228" w:type="dxa"/>
            <w:gridSpan w:val="4"/>
            <w:noWrap w:val="0"/>
            <w:vAlign w:val="center"/>
          </w:tcPr>
          <w:p w14:paraId="3804F241">
            <w:pPr>
              <w:pStyle w:val="9"/>
              <w:spacing w:before="129" w:line="220" w:lineRule="auto"/>
              <w:ind w:firstLine="216" w:firstLineChars="100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交工验收的质量评定：合格；竣工验收的质量评定：</w:t>
            </w: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合格</w:t>
            </w:r>
            <w:r>
              <w:rPr>
                <w:rFonts w:ascii="宋体" w:hAnsi="宋体" w:eastAsia="宋体" w:cs="宋体"/>
                <w:spacing w:val="-2"/>
              </w:rPr>
              <w:t>。</w:t>
            </w:r>
          </w:p>
        </w:tc>
      </w:tr>
      <w:tr w14:paraId="29217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522" w:type="dxa"/>
            <w:gridSpan w:val="5"/>
            <w:noWrap w:val="0"/>
            <w:vAlign w:val="center"/>
          </w:tcPr>
          <w:p w14:paraId="158110F0">
            <w:pPr>
              <w:pStyle w:val="9"/>
              <w:spacing w:before="129" w:line="220" w:lineRule="auto"/>
              <w:ind w:firstLine="648" w:firstLineChars="300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安全目</w:t>
            </w:r>
            <w:r>
              <w:rPr>
                <w:rFonts w:hint="eastAsia" w:ascii="宋体" w:hAnsi="宋体" w:eastAsia="宋体" w:cs="宋体"/>
                <w:spacing w:val="-2"/>
              </w:rPr>
              <w:t>标</w:t>
            </w:r>
          </w:p>
        </w:tc>
        <w:tc>
          <w:tcPr>
            <w:tcW w:w="9228" w:type="dxa"/>
            <w:gridSpan w:val="4"/>
            <w:noWrap w:val="0"/>
            <w:vAlign w:val="center"/>
          </w:tcPr>
          <w:p w14:paraId="352C7263">
            <w:pPr>
              <w:pStyle w:val="9"/>
              <w:spacing w:before="129" w:line="220" w:lineRule="auto"/>
              <w:ind w:firstLine="216" w:firstLineChars="100"/>
              <w:rPr>
                <w:rFonts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杜绝重、特大伤亡事故发生，无重伤事故，控制一般轻伤事故。</w:t>
            </w:r>
          </w:p>
        </w:tc>
      </w:tr>
      <w:tr w14:paraId="2235B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522" w:type="dxa"/>
            <w:gridSpan w:val="5"/>
            <w:noWrap w:val="0"/>
            <w:vAlign w:val="center"/>
          </w:tcPr>
          <w:p w14:paraId="176A1440">
            <w:pPr>
              <w:pStyle w:val="9"/>
              <w:spacing w:before="129" w:line="220" w:lineRule="auto"/>
              <w:ind w:firstLine="648" w:firstLineChars="300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监理服务期限</w:t>
            </w:r>
          </w:p>
        </w:tc>
        <w:tc>
          <w:tcPr>
            <w:tcW w:w="9228" w:type="dxa"/>
            <w:gridSpan w:val="4"/>
            <w:noWrap w:val="0"/>
            <w:vAlign w:val="center"/>
          </w:tcPr>
          <w:p w14:paraId="76AE4795">
            <w:pPr>
              <w:pStyle w:val="9"/>
              <w:spacing w:before="129" w:line="220" w:lineRule="auto"/>
              <w:ind w:firstLine="216" w:firstLineChars="100"/>
              <w:rPr>
                <w:rFonts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监理服务期限：施工工期 12 个月，缺陷责任期 12 个月。监理服务期 24个月。</w:t>
            </w:r>
          </w:p>
        </w:tc>
      </w:tr>
      <w:tr w14:paraId="4F833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3750" w:type="dxa"/>
            <w:gridSpan w:val="9"/>
            <w:noWrap w:val="0"/>
            <w:vAlign w:val="center"/>
          </w:tcPr>
          <w:p w14:paraId="462BF0F1">
            <w:pPr>
              <w:pStyle w:val="9"/>
              <w:spacing w:before="131" w:line="219" w:lineRule="auto"/>
              <w:ind w:left="114"/>
            </w:pPr>
            <w:r>
              <w:rPr>
                <w:rFonts w:hint="eastAsia" w:ascii="宋体" w:hAnsi="宋体" w:eastAsia="宋体" w:cs="宋体"/>
                <w:spacing w:val="-2"/>
              </w:rPr>
              <w:t>二、总监理工程师姓名、个人业绩、相关证书名称和编号</w:t>
            </w:r>
          </w:p>
        </w:tc>
      </w:tr>
      <w:tr w14:paraId="3BD06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00" w:type="dxa"/>
            <w:gridSpan w:val="2"/>
            <w:noWrap w:val="0"/>
            <w:vAlign w:val="center"/>
          </w:tcPr>
          <w:p w14:paraId="34097984">
            <w:pPr>
              <w:pStyle w:val="9"/>
              <w:spacing w:before="139" w:line="219" w:lineRule="auto"/>
              <w:ind w:left="104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拟任岗位</w:t>
            </w:r>
          </w:p>
        </w:tc>
        <w:tc>
          <w:tcPr>
            <w:tcW w:w="900" w:type="dxa"/>
            <w:noWrap w:val="0"/>
            <w:vAlign w:val="center"/>
          </w:tcPr>
          <w:p w14:paraId="1CD85BAF">
            <w:pPr>
              <w:pStyle w:val="9"/>
              <w:spacing w:before="139" w:line="219" w:lineRule="auto"/>
              <w:ind w:left="104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姓名</w:t>
            </w:r>
          </w:p>
        </w:tc>
        <w:tc>
          <w:tcPr>
            <w:tcW w:w="700" w:type="dxa"/>
            <w:noWrap w:val="0"/>
            <w:vAlign w:val="center"/>
          </w:tcPr>
          <w:p w14:paraId="55F3D2FB">
            <w:pPr>
              <w:pStyle w:val="9"/>
              <w:spacing w:before="139" w:line="219" w:lineRule="auto"/>
              <w:ind w:left="104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年龄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 w14:paraId="1D8574F4">
            <w:pPr>
              <w:pStyle w:val="9"/>
              <w:spacing w:before="139" w:line="219" w:lineRule="auto"/>
              <w:ind w:left="104"/>
              <w:rPr>
                <w:rFonts w:hint="eastAsia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个人业绩</w:t>
            </w:r>
          </w:p>
        </w:tc>
        <w:tc>
          <w:tcPr>
            <w:tcW w:w="3124" w:type="dxa"/>
            <w:noWrap w:val="0"/>
            <w:vAlign w:val="center"/>
          </w:tcPr>
          <w:p w14:paraId="786F318B">
            <w:pPr>
              <w:pStyle w:val="9"/>
              <w:spacing w:before="139" w:line="219" w:lineRule="auto"/>
              <w:ind w:left="104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证书名称</w:t>
            </w:r>
          </w:p>
        </w:tc>
        <w:tc>
          <w:tcPr>
            <w:tcW w:w="5971" w:type="dxa"/>
            <w:gridSpan w:val="2"/>
            <w:noWrap w:val="0"/>
            <w:vAlign w:val="center"/>
          </w:tcPr>
          <w:p w14:paraId="2DBD9136">
            <w:pPr>
              <w:pStyle w:val="9"/>
              <w:spacing w:before="139" w:line="219" w:lineRule="auto"/>
              <w:ind w:left="104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证书编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号</w:t>
            </w:r>
          </w:p>
        </w:tc>
      </w:tr>
      <w:tr w14:paraId="2275B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200" w:type="dxa"/>
            <w:gridSpan w:val="2"/>
            <w:noWrap w:val="0"/>
            <w:vAlign w:val="center"/>
          </w:tcPr>
          <w:p w14:paraId="05A98EDF">
            <w:pPr>
              <w:pStyle w:val="9"/>
              <w:spacing w:before="139" w:line="219" w:lineRule="auto"/>
              <w:ind w:left="104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总监理工程师</w:t>
            </w:r>
          </w:p>
        </w:tc>
        <w:tc>
          <w:tcPr>
            <w:tcW w:w="900" w:type="dxa"/>
            <w:noWrap w:val="0"/>
            <w:vAlign w:val="center"/>
          </w:tcPr>
          <w:p w14:paraId="4B88DDBD">
            <w:pPr>
              <w:pStyle w:val="9"/>
              <w:spacing w:before="139" w:line="219" w:lineRule="auto"/>
              <w:ind w:left="104"/>
              <w:rPr>
                <w:rFonts w:hint="default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 xml:space="preserve">曹峰 </w:t>
            </w:r>
          </w:p>
        </w:tc>
        <w:tc>
          <w:tcPr>
            <w:tcW w:w="700" w:type="dxa"/>
            <w:noWrap w:val="0"/>
            <w:vAlign w:val="center"/>
          </w:tcPr>
          <w:p w14:paraId="081848E2">
            <w:pPr>
              <w:pStyle w:val="9"/>
              <w:spacing w:before="139" w:line="219" w:lineRule="auto"/>
              <w:ind w:left="104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47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 w14:paraId="53392527">
            <w:pPr>
              <w:pStyle w:val="9"/>
              <w:spacing w:before="139" w:line="219" w:lineRule="auto"/>
              <w:ind w:left="104" w:firstLine="432" w:firstLineChars="200"/>
              <w:rPr>
                <w:rFonts w:hint="default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/</w:t>
            </w:r>
          </w:p>
        </w:tc>
        <w:tc>
          <w:tcPr>
            <w:tcW w:w="3124" w:type="dxa"/>
            <w:noWrap w:val="0"/>
            <w:vAlign w:val="center"/>
          </w:tcPr>
          <w:p w14:paraId="4048350B">
            <w:pPr>
              <w:pStyle w:val="9"/>
              <w:spacing w:before="139" w:line="219" w:lineRule="auto"/>
              <w:ind w:left="104"/>
              <w:rPr>
                <w:rFonts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公路工程监理工程师</w:t>
            </w:r>
          </w:p>
        </w:tc>
        <w:tc>
          <w:tcPr>
            <w:tcW w:w="5971" w:type="dxa"/>
            <w:gridSpan w:val="2"/>
            <w:noWrap w:val="0"/>
            <w:vAlign w:val="center"/>
          </w:tcPr>
          <w:p w14:paraId="5FAF7CCA">
            <w:pPr>
              <w:pStyle w:val="9"/>
              <w:spacing w:before="139" w:line="219" w:lineRule="auto"/>
              <w:ind w:left="104"/>
              <w:rPr>
                <w:rFonts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JGJ0926484</w:t>
            </w:r>
          </w:p>
        </w:tc>
      </w:tr>
      <w:tr w14:paraId="5E097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3750" w:type="dxa"/>
            <w:gridSpan w:val="9"/>
            <w:noWrap w:val="0"/>
            <w:vAlign w:val="center"/>
          </w:tcPr>
          <w:p w14:paraId="5F5D8221">
            <w:pPr>
              <w:pStyle w:val="9"/>
              <w:spacing w:before="127" w:line="220" w:lineRule="auto"/>
              <w:ind w:left="114"/>
            </w:pPr>
            <w:r>
              <w:rPr>
                <w:spacing w:val="-2"/>
              </w:rPr>
              <w:t>三、投标人</w:t>
            </w:r>
            <w:r>
              <w:rPr>
                <w:rFonts w:ascii="宋体" w:hAnsi="宋体" w:eastAsia="宋体" w:cs="宋体"/>
                <w:spacing w:val="-2"/>
              </w:rPr>
              <w:t>项目业绩</w:t>
            </w:r>
          </w:p>
        </w:tc>
      </w:tr>
      <w:tr w14:paraId="77E24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1114" w:type="dxa"/>
            <w:noWrap w:val="0"/>
            <w:vAlign w:val="center"/>
          </w:tcPr>
          <w:p w14:paraId="23635A2F">
            <w:pPr>
              <w:pStyle w:val="9"/>
              <w:spacing w:before="149" w:line="221" w:lineRule="auto"/>
              <w:ind w:left="324"/>
            </w:pPr>
            <w:r>
              <w:rPr>
                <w:spacing w:val="6"/>
              </w:rPr>
              <w:t>序号</w:t>
            </w:r>
          </w:p>
        </w:tc>
        <w:tc>
          <w:tcPr>
            <w:tcW w:w="3408" w:type="dxa"/>
            <w:gridSpan w:val="4"/>
            <w:noWrap w:val="0"/>
            <w:vAlign w:val="center"/>
          </w:tcPr>
          <w:p w14:paraId="170A79B4">
            <w:pPr>
              <w:pStyle w:val="9"/>
              <w:spacing w:before="148" w:line="220" w:lineRule="auto"/>
              <w:ind w:left="1670"/>
            </w:pPr>
            <w:r>
              <w:rPr>
                <w:spacing w:val="2"/>
              </w:rPr>
              <w:t>项目名称</w:t>
            </w:r>
          </w:p>
        </w:tc>
        <w:tc>
          <w:tcPr>
            <w:tcW w:w="7631" w:type="dxa"/>
            <w:gridSpan w:val="3"/>
            <w:noWrap w:val="0"/>
            <w:vAlign w:val="center"/>
          </w:tcPr>
          <w:p w14:paraId="185CB41B">
            <w:pPr>
              <w:pStyle w:val="9"/>
              <w:spacing w:before="148" w:line="219" w:lineRule="auto"/>
              <w:ind w:left="2313"/>
            </w:pPr>
            <w:r>
              <w:t>项目主要内容及金额</w:t>
            </w:r>
          </w:p>
        </w:tc>
        <w:tc>
          <w:tcPr>
            <w:tcW w:w="1597" w:type="dxa"/>
            <w:noWrap w:val="0"/>
            <w:vAlign w:val="center"/>
          </w:tcPr>
          <w:p w14:paraId="789104A5">
            <w:pPr>
              <w:pStyle w:val="9"/>
              <w:spacing w:before="149" w:line="221" w:lineRule="auto"/>
              <w:ind w:left="438"/>
            </w:pPr>
            <w:r>
              <w:rPr>
                <w:spacing w:val="5"/>
              </w:rPr>
              <w:t>交工时间</w:t>
            </w:r>
          </w:p>
        </w:tc>
      </w:tr>
      <w:tr w14:paraId="3D7EF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5" w:hRule="atLeast"/>
          <w:jc w:val="center"/>
        </w:trPr>
        <w:tc>
          <w:tcPr>
            <w:tcW w:w="1114" w:type="dxa"/>
            <w:noWrap w:val="0"/>
            <w:vAlign w:val="center"/>
          </w:tcPr>
          <w:p w14:paraId="2344B36E">
            <w:pPr>
              <w:spacing w:line="387" w:lineRule="auto"/>
              <w:jc w:val="center"/>
              <w:rPr>
                <w:rFonts w:ascii="Arial"/>
                <w:sz w:val="21"/>
              </w:rPr>
            </w:pPr>
          </w:p>
          <w:p w14:paraId="7F08DC7B">
            <w:pPr>
              <w:pStyle w:val="9"/>
              <w:spacing w:before="71" w:line="241" w:lineRule="auto"/>
              <w:ind w:left="494"/>
              <w:jc w:val="center"/>
            </w:pPr>
            <w:r>
              <w:rPr>
                <w:color w:val="303050"/>
              </w:rPr>
              <w:t>1</w:t>
            </w:r>
          </w:p>
        </w:tc>
        <w:tc>
          <w:tcPr>
            <w:tcW w:w="3408" w:type="dxa"/>
            <w:gridSpan w:val="4"/>
            <w:noWrap w:val="0"/>
            <w:vAlign w:val="center"/>
          </w:tcPr>
          <w:p w14:paraId="708A1048">
            <w:pPr>
              <w:pStyle w:val="9"/>
              <w:spacing w:before="58" w:line="213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重庆南川至两江新区高边公路支线(南川西环线)工程</w:t>
            </w:r>
          </w:p>
        </w:tc>
        <w:tc>
          <w:tcPr>
            <w:tcW w:w="7631" w:type="dxa"/>
            <w:gridSpan w:val="3"/>
            <w:noWrap w:val="0"/>
            <w:vAlign w:val="center"/>
          </w:tcPr>
          <w:p w14:paraId="79782BB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480" w:lineRule="exact"/>
              <w:ind w:left="0" w:leftChars="0"/>
              <w:jc w:val="left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高速公路，项目起于南川区西城街道沿塘场，设沿塘枢纽互通与南川至 两江新区高速相接，经会峰村、金台村，止于兴隆镇，设兴隆枢纽互通 接G65包茂高速，路线全长11.013公里。 全线设置特大桥1973米/2座， 大中桥1284米/5座；设置隧道356米/1座；设置互通式立交3座，其中枢 纽互通2处（沿塘枢纽互通、兴隆枢纽互通），一般互通1处（南川西互 通）；全线设养护工区一处，匝道收费站一处，路段管理分中心1处（ 与养护工区合建）金额1548899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  <w:lang w:eastAsia="zh-CN"/>
              </w:rPr>
              <w:t>元。</w:t>
            </w:r>
            <w:bookmarkStart w:id="0" w:name="_GoBack"/>
            <w:bookmarkEnd w:id="0"/>
          </w:p>
        </w:tc>
        <w:tc>
          <w:tcPr>
            <w:tcW w:w="1597" w:type="dxa"/>
            <w:noWrap w:val="0"/>
            <w:vAlign w:val="center"/>
          </w:tcPr>
          <w:p w14:paraId="0C0838E9">
            <w:pPr>
              <w:pStyle w:val="9"/>
              <w:spacing w:before="71" w:line="219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  <w:lang w:val="en-US" w:eastAsia="zh-CN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  <w:lang w:val="en-US" w:eastAsia="zh-CN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  <w:lang w:val="en-US" w:eastAsia="zh-CN"/>
              </w:rPr>
              <w:t>日</w:t>
            </w:r>
          </w:p>
        </w:tc>
      </w:tr>
    </w:tbl>
    <w:p w14:paraId="089C95AA">
      <w:pPr>
        <w:pStyle w:val="2"/>
      </w:pPr>
    </w:p>
    <w:p w14:paraId="55BE0F05">
      <w:pPr>
        <w:sectPr>
          <w:footerReference r:id="rId3" w:type="default"/>
          <w:pgSz w:w="16840" w:h="11900"/>
          <w:pgMar w:top="1011" w:right="1284" w:bottom="1461" w:left="1735" w:header="0" w:footer="609" w:gutter="0"/>
          <w:pgNumType w:fmt="decimal"/>
          <w:cols w:space="720" w:num="1"/>
        </w:sectPr>
      </w:pPr>
    </w:p>
    <w:p w14:paraId="374D95E6">
      <w:pPr>
        <w:spacing w:before="57" w:line="224" w:lineRule="auto"/>
        <w:ind w:left="54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13"/>
          <w:sz w:val="28"/>
          <w:szCs w:val="28"/>
        </w:rPr>
        <w:t>附件2</w:t>
      </w:r>
    </w:p>
    <w:p w14:paraId="7AE57108">
      <w:pPr>
        <w:pStyle w:val="2"/>
        <w:spacing w:line="399" w:lineRule="auto"/>
        <w:rPr>
          <w:sz w:val="36"/>
          <w:szCs w:val="36"/>
        </w:rPr>
      </w:pPr>
    </w:p>
    <w:p w14:paraId="2DE04CE4">
      <w:pPr>
        <w:spacing w:before="91" w:line="220" w:lineRule="auto"/>
        <w:ind w:left="1064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-6"/>
          <w:sz w:val="36"/>
          <w:szCs w:val="36"/>
          <w:lang w:val="en-US" w:eastAsia="zh-CN"/>
        </w:rPr>
        <w:t>上武高速公路基础设施提升改造项目监理（第二次）</w:t>
      </w:r>
      <w:r>
        <w:rPr>
          <w:rFonts w:ascii="黑体" w:hAnsi="黑体" w:eastAsia="黑体" w:cs="黑体"/>
          <w:b/>
          <w:bCs/>
          <w:spacing w:val="-6"/>
          <w:sz w:val="36"/>
          <w:szCs w:val="36"/>
        </w:rPr>
        <w:t>被否决投标的投标人名称、否决依据和原因</w:t>
      </w:r>
    </w:p>
    <w:p w14:paraId="6362D1E9">
      <w:pPr>
        <w:spacing w:before="97" w:line="217" w:lineRule="auto"/>
        <w:rPr>
          <w:rFonts w:ascii="宋体" w:hAnsi="宋体" w:eastAsia="宋体" w:cs="宋体"/>
          <w:spacing w:val="-8"/>
          <w:sz w:val="30"/>
          <w:szCs w:val="30"/>
        </w:rPr>
      </w:pPr>
    </w:p>
    <w:p w14:paraId="52CB4FD3">
      <w:pPr>
        <w:spacing w:before="97" w:line="217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30"/>
          <w:szCs w:val="30"/>
        </w:rPr>
        <w:t>(1)</w:t>
      </w:r>
      <w:r>
        <w:rPr>
          <w:rFonts w:ascii="宋体" w:hAnsi="宋体" w:eastAsia="宋体" w:cs="宋体"/>
          <w:spacing w:val="-8"/>
          <w:sz w:val="28"/>
          <w:szCs w:val="28"/>
        </w:rPr>
        <w:t>未通过第一信封(商务及技术文件)评审的投标人名单及原因如下：</w:t>
      </w:r>
    </w:p>
    <w:tbl>
      <w:tblPr>
        <w:tblStyle w:val="10"/>
        <w:tblpPr w:leftFromText="180" w:rightFromText="180" w:vertAnchor="text" w:horzAnchor="page" w:tblpXSpec="center" w:tblpY="566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5"/>
        <w:gridCol w:w="3688"/>
      </w:tblGrid>
      <w:tr w14:paraId="3A8DA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3495" w:type="dxa"/>
            <w:noWrap w:val="0"/>
            <w:vAlign w:val="top"/>
          </w:tcPr>
          <w:p w14:paraId="7DDF4555">
            <w:pPr>
              <w:pStyle w:val="9"/>
              <w:spacing w:before="105" w:line="220" w:lineRule="auto"/>
              <w:ind w:left="673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投标人名称</w:t>
            </w:r>
          </w:p>
        </w:tc>
        <w:tc>
          <w:tcPr>
            <w:tcW w:w="3688" w:type="dxa"/>
            <w:noWrap w:val="0"/>
            <w:vAlign w:val="top"/>
          </w:tcPr>
          <w:p w14:paraId="6247536C">
            <w:pPr>
              <w:pStyle w:val="9"/>
              <w:spacing w:before="103" w:line="219" w:lineRule="auto"/>
              <w:ind w:left="555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未通过原因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及</w:t>
            </w:r>
            <w:r>
              <w:rPr>
                <w:spacing w:val="1"/>
                <w:sz w:val="24"/>
                <w:szCs w:val="24"/>
              </w:rPr>
              <w:t>否决依据</w:t>
            </w:r>
          </w:p>
        </w:tc>
      </w:tr>
      <w:tr w14:paraId="7C64D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3495" w:type="dxa"/>
            <w:noWrap w:val="0"/>
            <w:vAlign w:val="top"/>
          </w:tcPr>
          <w:p w14:paraId="2969820A">
            <w:pPr>
              <w:pStyle w:val="9"/>
              <w:spacing w:before="255" w:line="22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3688" w:type="dxa"/>
            <w:noWrap w:val="0"/>
            <w:vAlign w:val="center"/>
          </w:tcPr>
          <w:p w14:paraId="24CF8FA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无</w:t>
            </w:r>
          </w:p>
        </w:tc>
      </w:tr>
    </w:tbl>
    <w:p w14:paraId="4D032954">
      <w:pPr>
        <w:pStyle w:val="2"/>
        <w:spacing w:line="296" w:lineRule="auto"/>
      </w:pPr>
    </w:p>
    <w:p w14:paraId="1F280263">
      <w:pPr>
        <w:pStyle w:val="2"/>
        <w:spacing w:line="297" w:lineRule="auto"/>
      </w:pPr>
    </w:p>
    <w:p w14:paraId="5D260943">
      <w:pPr>
        <w:spacing w:before="98" w:line="218" w:lineRule="auto"/>
        <w:ind w:left="1199"/>
        <w:rPr>
          <w:rFonts w:ascii="宋体" w:hAnsi="宋体" w:eastAsia="宋体" w:cs="宋体"/>
          <w:sz w:val="30"/>
          <w:szCs w:val="30"/>
        </w:rPr>
      </w:pPr>
    </w:p>
    <w:p w14:paraId="6D5190BE">
      <w:pPr>
        <w:numPr>
          <w:ilvl w:val="0"/>
          <w:numId w:val="0"/>
        </w:numPr>
        <w:spacing w:before="98" w:line="218" w:lineRule="auto"/>
        <w:rPr>
          <w:rFonts w:ascii="宋体" w:hAnsi="宋体" w:eastAsia="宋体" w:cs="宋体"/>
          <w:spacing w:val="-1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ascii="宋体" w:hAnsi="宋体" w:eastAsia="宋体" w:cs="宋体"/>
          <w:sz w:val="28"/>
          <w:szCs w:val="28"/>
        </w:rPr>
        <w:t>未通过第二信封(报价文件)评审的投标人名单及原因如</w:t>
      </w:r>
      <w:r>
        <w:rPr>
          <w:rFonts w:ascii="宋体" w:hAnsi="宋体" w:eastAsia="宋体" w:cs="宋体"/>
          <w:spacing w:val="-1"/>
          <w:sz w:val="28"/>
          <w:szCs w:val="28"/>
        </w:rPr>
        <w:t>下：</w:t>
      </w:r>
    </w:p>
    <w:p w14:paraId="73C4A778">
      <w:pPr>
        <w:spacing w:line="122" w:lineRule="auto"/>
        <w:rPr>
          <w:rFonts w:ascii="Arial"/>
          <w:sz w:val="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AA8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5323" w:type="dxa"/>
            <w:noWrap w:val="0"/>
            <w:vAlign w:val="center"/>
          </w:tcPr>
          <w:p w14:paraId="523E4200">
            <w:pPr>
              <w:pStyle w:val="2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投标人名称</w:t>
            </w:r>
          </w:p>
        </w:tc>
        <w:tc>
          <w:tcPr>
            <w:tcW w:w="5323" w:type="dxa"/>
            <w:noWrap w:val="0"/>
            <w:vAlign w:val="center"/>
          </w:tcPr>
          <w:p w14:paraId="22081CEF">
            <w:pPr>
              <w:pStyle w:val="2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未通过原因</w:t>
            </w:r>
            <w:r>
              <w:rPr>
                <w:rFonts w:hint="eastAsia" w:eastAsia="宋体"/>
                <w:vertAlign w:val="baseline"/>
                <w:lang w:eastAsia="zh-CN"/>
              </w:rPr>
              <w:t>及</w:t>
            </w:r>
            <w:r>
              <w:rPr>
                <w:rFonts w:hint="eastAsia"/>
                <w:vertAlign w:val="baseline"/>
              </w:rPr>
              <w:t>否决依据</w:t>
            </w:r>
          </w:p>
        </w:tc>
      </w:tr>
      <w:tr w14:paraId="183AF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323" w:type="dxa"/>
            <w:noWrap w:val="0"/>
            <w:vAlign w:val="center"/>
          </w:tcPr>
          <w:p w14:paraId="2A8FB103">
            <w:pPr>
              <w:pStyle w:val="2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山东恒建工程监理咨询有限公司</w:t>
            </w:r>
          </w:p>
        </w:tc>
        <w:tc>
          <w:tcPr>
            <w:tcW w:w="5323" w:type="dxa"/>
            <w:noWrap w:val="0"/>
            <w:vAlign w:val="center"/>
          </w:tcPr>
          <w:p w14:paraId="43BC347A">
            <w:pPr>
              <w:pStyle w:val="2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施工阶段和缺陷责任期未填写报价费率</w:t>
            </w:r>
          </w:p>
        </w:tc>
      </w:tr>
      <w:tr w14:paraId="0D9A6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323" w:type="dxa"/>
            <w:noWrap w:val="0"/>
            <w:vAlign w:val="center"/>
          </w:tcPr>
          <w:p w14:paraId="2F6F27E2">
            <w:pPr>
              <w:pStyle w:val="2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江西省公路工程监理有限公司</w:t>
            </w:r>
          </w:p>
        </w:tc>
        <w:tc>
          <w:tcPr>
            <w:tcW w:w="5323" w:type="dxa"/>
            <w:noWrap w:val="0"/>
            <w:vAlign w:val="center"/>
          </w:tcPr>
          <w:p w14:paraId="6D4FA35E">
            <w:pPr>
              <w:pStyle w:val="2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报价费率计算错误</w:t>
            </w:r>
          </w:p>
        </w:tc>
      </w:tr>
      <w:tr w14:paraId="38531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323" w:type="dxa"/>
            <w:noWrap w:val="0"/>
            <w:vAlign w:val="center"/>
          </w:tcPr>
          <w:p w14:paraId="6316BA92">
            <w:pPr>
              <w:pStyle w:val="2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上饶市赣东公路工程咨询有限公司</w:t>
            </w:r>
          </w:p>
        </w:tc>
        <w:tc>
          <w:tcPr>
            <w:tcW w:w="5323" w:type="dxa"/>
            <w:noWrap w:val="0"/>
            <w:vAlign w:val="center"/>
          </w:tcPr>
          <w:p w14:paraId="7738F051">
            <w:pPr>
              <w:pStyle w:val="2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报价费率未按招标文件要求保留小数点后四位</w:t>
            </w:r>
          </w:p>
        </w:tc>
      </w:tr>
      <w:tr w14:paraId="78764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323" w:type="dxa"/>
            <w:noWrap w:val="0"/>
            <w:vAlign w:val="center"/>
          </w:tcPr>
          <w:p w14:paraId="768E9975">
            <w:pPr>
              <w:pStyle w:val="2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中联路海集团有限公司</w:t>
            </w:r>
          </w:p>
        </w:tc>
        <w:tc>
          <w:tcPr>
            <w:tcW w:w="5323" w:type="dxa"/>
            <w:noWrap w:val="0"/>
            <w:vAlign w:val="center"/>
          </w:tcPr>
          <w:p w14:paraId="7679E2E4"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未解密</w:t>
            </w:r>
          </w:p>
        </w:tc>
      </w:tr>
    </w:tbl>
    <w:p w14:paraId="15BEF5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77F03">
    <w:pPr>
      <w:pStyle w:val="2"/>
      <w:spacing w:line="268" w:lineRule="auto"/>
      <w:rPr>
        <w:sz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C2BA2C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eastAsia="宋体"/>
                              <w:sz w:val="1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eastAsia="宋体"/>
                              <w:sz w:val="1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C2BA2C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eastAsia="宋体"/>
                        <w:sz w:val="18"/>
                        <w:lang w:val="en-US" w:eastAsia="zh-CN"/>
                      </w:rPr>
                      <w:t>1</w: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eastAsia="宋体"/>
                        <w:sz w:val="18"/>
                        <w:lang w:val="en-US" w:eastAsia="zh-CN"/>
                      </w:rPr>
                      <w:t>1</w: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460B21C7">
    <w:pPr>
      <w:pStyle w:val="2"/>
      <w:spacing w:line="268" w:lineRule="auto"/>
      <w:rPr>
        <w:sz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149C0"/>
    <w:rsid w:val="337C6644"/>
    <w:rsid w:val="3F472860"/>
    <w:rsid w:val="447149C0"/>
    <w:rsid w:val="69C8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852</Words>
  <Characters>911</Characters>
  <Lines>0</Lines>
  <Paragraphs>0</Paragraphs>
  <TotalTime>2</TotalTime>
  <ScaleCrop>false</ScaleCrop>
  <LinksUpToDate>false</LinksUpToDate>
  <CharactersWithSpaces>927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2025-10-21T09:27:00Z</dcterms:created>
  <dc:creator>落幕无人问</dc:creator>
  <cp:lastModifiedBy>Am</cp:lastModifiedBy>
  <dcterms:modified xsi:type="dcterms:W3CDTF">2025-10-21T09:35:35Z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8BC844ACEFD34694AA5EE08F8062B7C7_13</vt:lpwstr>
  </property>
  <property fmtid="{D5CDD505-2E9C-101B-9397-08002B2CF9AE}" pid="4" name="KSOTemplateDocerSaveRecord">
    <vt:lpwstr>eyJoZGlkIjoiZTRlOTY1MTBjZWZkZjJiMzBkODQzMDU0MGMxN2I1MmQiLCJ1c2VySWQiOiIyMzg2MjE1ODMifQ==</vt:lpwstr>
  </property>
</Properties>
</file>