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74F32">
      <w:pPr>
        <w:pStyle w:val="9"/>
        <w:adjustRightInd w:val="0"/>
        <w:snapToGrid w:val="0"/>
        <w:spacing w:line="360" w:lineRule="auto"/>
        <w:ind w:left="0" w:leftChars="0" w:firstLine="0" w:firstLineChars="0"/>
        <w:jc w:val="center"/>
        <w:rPr>
          <w:rFonts w:hint="eastAsia" w:ascii="宋体" w:hAnsi="宋体" w:eastAsia="宋体" w:cs="宋体"/>
          <w:b w:val="0"/>
          <w:bCs w:val="0"/>
          <w:color w:val="000000" w:themeColor="text1"/>
          <w:spacing w:val="-11"/>
          <w:kern w:val="44"/>
          <w:sz w:val="72"/>
          <w:szCs w:val="72"/>
          <w:highlight w:val="none"/>
          <w14:textFill>
            <w14:solidFill>
              <w14:schemeClr w14:val="tx1"/>
            </w14:solidFill>
          </w14:textFill>
        </w:rPr>
      </w:pPr>
      <w:r>
        <w:rPr>
          <w:rFonts w:hint="eastAsia" w:ascii="宋体" w:hAnsi="宋体" w:eastAsia="宋体" w:cs="宋体"/>
          <w:b w:val="0"/>
          <w:bCs w:val="0"/>
          <w:color w:val="000000" w:themeColor="text1"/>
          <w:spacing w:val="-11"/>
          <w:w w:val="80"/>
          <w:kern w:val="44"/>
          <w:sz w:val="72"/>
          <w:szCs w:val="72"/>
          <w:highlight w:val="none"/>
          <w:lang w:val="en-US" w:eastAsia="zh-CN"/>
          <w14:textFill>
            <w14:solidFill>
              <w14:schemeClr w14:val="tx1"/>
            </w14:solidFill>
          </w14:textFill>
        </w:rPr>
        <w:t>上饶市城投工程管理咨询有限公司</w:t>
      </w:r>
    </w:p>
    <w:p w14:paraId="6C8007C5">
      <w:pPr>
        <w:pStyle w:val="9"/>
        <w:adjustRightInd w:val="0"/>
        <w:snapToGrid w:val="0"/>
        <w:spacing w:line="360" w:lineRule="auto"/>
        <w:jc w:val="center"/>
        <w:rPr>
          <w:rFonts w:hint="eastAsia" w:ascii="华文中宋" w:hAnsi="华文中宋" w:eastAsia="华文中宋"/>
          <w:b/>
          <w:bCs/>
          <w:color w:val="000000" w:themeColor="text1"/>
          <w:sz w:val="44"/>
          <w:szCs w:val="44"/>
          <w:highlight w:val="none"/>
          <w:lang w:eastAsia="zh-CN"/>
          <w14:textFill>
            <w14:solidFill>
              <w14:schemeClr w14:val="tx1"/>
            </w14:solidFill>
          </w14:textFill>
        </w:rPr>
      </w:pPr>
    </w:p>
    <w:p w14:paraId="6B28C76B">
      <w:pPr>
        <w:pStyle w:val="9"/>
        <w:adjustRightInd w:val="0"/>
        <w:snapToGrid w:val="0"/>
        <w:spacing w:line="360" w:lineRule="auto"/>
        <w:jc w:val="center"/>
        <w:rPr>
          <w:rFonts w:hint="eastAsia" w:ascii="华文中宋" w:hAnsi="华文中宋" w:eastAsia="华文中宋"/>
          <w:b/>
          <w:bCs/>
          <w:color w:val="000000" w:themeColor="text1"/>
          <w:sz w:val="44"/>
          <w:szCs w:val="44"/>
          <w:highlight w:val="none"/>
          <w:lang w:eastAsia="zh-CN"/>
          <w14:textFill>
            <w14:solidFill>
              <w14:schemeClr w14:val="tx1"/>
            </w14:solidFill>
          </w14:textFill>
        </w:rPr>
      </w:pPr>
    </w:p>
    <w:p w14:paraId="0FE7F72E">
      <w:pPr>
        <w:pStyle w:val="7"/>
        <w:spacing w:line="360" w:lineRule="auto"/>
        <w:rPr>
          <w:color w:val="000000" w:themeColor="text1"/>
          <w:highlight w:val="none"/>
          <w14:textFill>
            <w14:solidFill>
              <w14:schemeClr w14:val="tx1"/>
            </w14:solidFill>
          </w14:textFill>
        </w:rPr>
      </w:pPr>
    </w:p>
    <w:p w14:paraId="73CECFF0">
      <w:pPr>
        <w:pStyle w:val="7"/>
        <w:spacing w:line="360" w:lineRule="auto"/>
        <w:jc w:val="center"/>
        <w:rPr>
          <w:rFonts w:hint="eastAsia" w:ascii="Arial Unicode MS" w:hAnsi="Arial Unicode MS" w:eastAsia="Arial Unicode MS" w:cs="Arial Unicode MS"/>
          <w:b w:val="0"/>
          <w:bCs w:val="0"/>
          <w:color w:val="000000" w:themeColor="text1"/>
          <w:sz w:val="84"/>
          <w:szCs w:val="84"/>
          <w:highlight w:val="none"/>
          <w:lang w:val="en-US" w:eastAsia="zh-CN"/>
          <w14:textFill>
            <w14:solidFill>
              <w14:schemeClr w14:val="tx1"/>
            </w14:solidFill>
          </w14:textFill>
        </w:rPr>
      </w:pPr>
      <w:r>
        <w:rPr>
          <w:rFonts w:hint="eastAsia" w:ascii="Arial Unicode MS" w:hAnsi="Arial Unicode MS" w:eastAsia="Arial Unicode MS" w:cs="Arial Unicode MS"/>
          <w:b w:val="0"/>
          <w:bCs w:val="0"/>
          <w:color w:val="000000" w:themeColor="text1"/>
          <w:sz w:val="84"/>
          <w:szCs w:val="84"/>
          <w:highlight w:val="none"/>
          <w:lang w:val="en-US" w:eastAsia="zh-CN"/>
          <w14:textFill>
            <w14:solidFill>
              <w14:schemeClr w14:val="tx1"/>
            </w14:solidFill>
          </w14:textFill>
        </w:rPr>
        <w:t>招标文件</w:t>
      </w:r>
    </w:p>
    <w:p w14:paraId="01A777B4">
      <w:pPr>
        <w:pStyle w:val="7"/>
        <w:spacing w:line="360" w:lineRule="auto"/>
        <w:jc w:val="center"/>
        <w:rPr>
          <w:rFonts w:hint="eastAsia"/>
          <w:b/>
          <w:bCs/>
          <w:color w:val="000000" w:themeColor="text1"/>
          <w:sz w:val="36"/>
          <w:szCs w:val="36"/>
          <w:highlight w:val="none"/>
          <w:lang w:val="en-US" w:eastAsia="zh-CN"/>
          <w14:textFill>
            <w14:solidFill>
              <w14:schemeClr w14:val="tx1"/>
            </w14:solidFill>
          </w14:textFill>
        </w:rPr>
      </w:pPr>
    </w:p>
    <w:p w14:paraId="121BC4C6">
      <w:pPr>
        <w:rPr>
          <w:rFonts w:hint="eastAsia"/>
          <w:b/>
          <w:bCs/>
          <w:color w:val="000000" w:themeColor="text1"/>
          <w:sz w:val="36"/>
          <w:szCs w:val="36"/>
          <w:highlight w:val="none"/>
          <w:lang w:val="en-US" w:eastAsia="zh-CN"/>
          <w14:textFill>
            <w14:solidFill>
              <w14:schemeClr w14:val="tx1"/>
            </w14:solidFill>
          </w14:textFill>
        </w:rPr>
      </w:pPr>
    </w:p>
    <w:p w14:paraId="4F7E88B1">
      <w:pPr>
        <w:pStyle w:val="7"/>
        <w:rPr>
          <w:rFonts w:hint="eastAsia"/>
          <w:color w:val="000000" w:themeColor="text1"/>
          <w:highlight w:val="none"/>
          <w:lang w:val="en-US" w:eastAsia="zh-CN"/>
          <w14:textFill>
            <w14:solidFill>
              <w14:schemeClr w14:val="tx1"/>
            </w14:solidFill>
          </w14:textFill>
        </w:rPr>
      </w:pPr>
    </w:p>
    <w:p w14:paraId="4ADE947E">
      <w:pPr>
        <w:adjustRightInd w:val="0"/>
        <w:snapToGrid w:val="0"/>
        <w:spacing w:line="360" w:lineRule="auto"/>
        <w:ind w:firstLine="1606" w:firstLineChars="500"/>
        <w:outlineLvl w:val="0"/>
        <w:rPr>
          <w:rFonts w:hint="default" w:eastAsia="宋体"/>
          <w:color w:val="000000" w:themeColor="text1"/>
          <w:highlight w:val="none"/>
          <w:lang w:val="en-US" w:eastAsia="zh-CN"/>
          <w14:textFill>
            <w14:solidFill>
              <w14:schemeClr w14:val="tx1"/>
            </w14:solidFill>
          </w14:textFill>
        </w:rPr>
      </w:pPr>
      <w:bookmarkStart w:id="0" w:name="_Toc19789"/>
      <w:bookmarkStart w:id="1" w:name="_Toc9582"/>
      <w:r>
        <w:rPr>
          <w:rFonts w:hint="eastAsia" w:hAnsi="宋体"/>
          <w:b/>
          <w:color w:val="000000" w:themeColor="text1"/>
          <w:sz w:val="32"/>
          <w:szCs w:val="32"/>
          <w:highlight w:val="none"/>
          <w:lang w:val="en-US" w:eastAsia="zh-CN"/>
          <w14:textFill>
            <w14:solidFill>
              <w14:schemeClr w14:val="tx1"/>
            </w14:solidFill>
          </w14:textFill>
        </w:rPr>
        <w:t>招 标 人</w:t>
      </w:r>
      <w:r>
        <w:rPr>
          <w:rFonts w:hint="eastAsia" w:hAnsi="宋体"/>
          <w:b/>
          <w:color w:val="000000" w:themeColor="text1"/>
          <w:sz w:val="32"/>
          <w:szCs w:val="32"/>
          <w:highlight w:val="none"/>
          <w14:textFill>
            <w14:solidFill>
              <w14:schemeClr w14:val="tx1"/>
            </w14:solidFill>
          </w14:textFill>
        </w:rPr>
        <w:t>：</w:t>
      </w:r>
      <w:bookmarkEnd w:id="0"/>
      <w:r>
        <w:rPr>
          <w:rFonts w:hint="eastAsia" w:hAnsi="宋体"/>
          <w:b/>
          <w:color w:val="000000" w:themeColor="text1"/>
          <w:sz w:val="32"/>
          <w:szCs w:val="32"/>
          <w:highlight w:val="none"/>
          <w:u w:val="single"/>
          <w:lang w:val="en-US" w:eastAsia="zh-CN"/>
          <w14:textFill>
            <w14:solidFill>
              <w14:schemeClr w14:val="tx1"/>
            </w14:solidFill>
          </w14:textFill>
        </w:rPr>
        <w:t xml:space="preserve">  上饶市城投建工集团有限公司</w:t>
      </w:r>
      <w:bookmarkEnd w:id="1"/>
      <w:r>
        <w:rPr>
          <w:rFonts w:hint="eastAsia" w:hAnsi="宋体"/>
          <w:b/>
          <w:color w:val="000000" w:themeColor="text1"/>
          <w:sz w:val="32"/>
          <w:szCs w:val="32"/>
          <w:highlight w:val="none"/>
          <w:u w:val="single"/>
          <w:lang w:val="en-US" w:eastAsia="zh-CN"/>
          <w14:textFill>
            <w14:solidFill>
              <w14:schemeClr w14:val="tx1"/>
            </w14:solidFill>
          </w14:textFill>
        </w:rPr>
        <w:t xml:space="preserve">  </w:t>
      </w:r>
    </w:p>
    <w:p w14:paraId="790C1A30">
      <w:pPr>
        <w:adjustRightInd w:val="0"/>
        <w:snapToGrid w:val="0"/>
        <w:spacing w:line="360" w:lineRule="auto"/>
        <w:jc w:val="center"/>
        <w:rPr>
          <w:rFonts w:hint="eastAsia" w:hAnsi="宋体" w:eastAsia="宋体" w:cs="Times New Roman"/>
          <w:b/>
          <w:color w:val="000000" w:themeColor="text1"/>
          <w:sz w:val="32"/>
          <w:szCs w:val="32"/>
          <w:highlight w:val="none"/>
          <w:u w:val="single"/>
          <w:lang w:val="en-US" w:eastAsia="zh-CN"/>
          <w14:textFill>
            <w14:solidFill>
              <w14:schemeClr w14:val="tx1"/>
            </w14:solidFill>
          </w14:textFill>
        </w:rPr>
      </w:pPr>
      <w:r>
        <w:rPr>
          <w:rFonts w:hint="eastAsia" w:hAnsi="宋体"/>
          <w:b/>
          <w:color w:val="000000" w:themeColor="text1"/>
          <w:sz w:val="32"/>
          <w:szCs w:val="32"/>
          <w:highlight w:val="none"/>
          <w:lang w:val="en-US" w:eastAsia="zh-CN"/>
          <w14:textFill>
            <w14:solidFill>
              <w14:schemeClr w14:val="tx1"/>
            </w14:solidFill>
          </w14:textFill>
        </w:rPr>
        <w:t xml:space="preserve">      </w:t>
      </w:r>
      <w:r>
        <w:rPr>
          <w:rFonts w:hint="eastAsia" w:hAnsi="宋体"/>
          <w:b/>
          <w:color w:val="000000" w:themeColor="text1"/>
          <w:sz w:val="32"/>
          <w:szCs w:val="32"/>
          <w:highlight w:val="none"/>
          <w14:textFill>
            <w14:solidFill>
              <w14:schemeClr w14:val="tx1"/>
            </w14:solidFill>
          </w14:textFill>
        </w:rPr>
        <w:t>项目名称：</w:t>
      </w:r>
      <w:r>
        <w:rPr>
          <w:rFonts w:hint="eastAsia" w:hAnsi="宋体" w:eastAsia="宋体" w:cs="Times New Roman"/>
          <w:b/>
          <w:color w:val="000000" w:themeColor="text1"/>
          <w:sz w:val="32"/>
          <w:szCs w:val="32"/>
          <w:highlight w:val="none"/>
          <w:u w:val="single"/>
          <w:lang w:val="en-US" w:eastAsia="zh-CN"/>
          <w14:textFill>
            <w14:solidFill>
              <w14:schemeClr w14:val="tx1"/>
            </w14:solidFill>
          </w14:textFill>
        </w:rPr>
        <w:t>上饶市紫阳大道6号楼内部局部改造工程</w:t>
      </w:r>
    </w:p>
    <w:p w14:paraId="53252E69">
      <w:pPr>
        <w:adjustRightInd w:val="0"/>
        <w:snapToGrid w:val="0"/>
        <w:spacing w:line="360" w:lineRule="auto"/>
        <w:jc w:val="center"/>
        <w:rPr>
          <w:rFonts w:hint="default" w:hAnsi="宋体" w:eastAsia="宋体" w:cs="Times New Roman"/>
          <w:b/>
          <w:color w:val="000000" w:themeColor="text1"/>
          <w:sz w:val="32"/>
          <w:szCs w:val="32"/>
          <w:highlight w:val="none"/>
          <w:u w:val="single"/>
          <w:lang w:val="en-US" w:eastAsia="zh-CN"/>
          <w14:textFill>
            <w14:solidFill>
              <w14:schemeClr w14:val="tx1"/>
            </w14:solidFill>
          </w14:textFill>
        </w:rPr>
      </w:pPr>
      <w:r>
        <w:rPr>
          <w:rFonts w:hint="eastAsia" w:hAnsi="宋体" w:cs="Times New Roman"/>
          <w:b/>
          <w:color w:val="000000" w:themeColor="text1"/>
          <w:sz w:val="32"/>
          <w:szCs w:val="32"/>
          <w:highlight w:val="none"/>
          <w:u w:val="none"/>
          <w:lang w:val="en-US" w:eastAsia="zh-CN"/>
          <w14:textFill>
            <w14:solidFill>
              <w14:schemeClr w14:val="tx1"/>
            </w14:solidFill>
          </w14:textFill>
        </w:rPr>
        <w:t xml:space="preserve">    </w:t>
      </w:r>
      <w:r>
        <w:rPr>
          <w:rFonts w:hint="eastAsia" w:hAnsi="宋体" w:eastAsia="宋体" w:cs="Times New Roman"/>
          <w:b/>
          <w:color w:val="000000" w:themeColor="text1"/>
          <w:sz w:val="32"/>
          <w:szCs w:val="32"/>
          <w:highlight w:val="none"/>
          <w:u w:val="single"/>
          <w:lang w:val="en-US" w:eastAsia="zh-CN"/>
          <w14:textFill>
            <w14:solidFill>
              <w14:schemeClr w14:val="tx1"/>
            </w14:solidFill>
          </w14:textFill>
        </w:rPr>
        <w:t>配套办公生活设施采购项目</w:t>
      </w:r>
    </w:p>
    <w:p w14:paraId="71228D92">
      <w:pPr>
        <w:adjustRightInd w:val="0"/>
        <w:snapToGrid w:val="0"/>
        <w:spacing w:line="360" w:lineRule="auto"/>
        <w:ind w:firstLine="1606" w:firstLineChars="500"/>
        <w:outlineLvl w:val="0"/>
        <w:rPr>
          <w:rFonts w:hint="default" w:hAnsi="宋体"/>
          <w:b/>
          <w:color w:val="000000" w:themeColor="text1"/>
          <w:sz w:val="32"/>
          <w:szCs w:val="32"/>
          <w:highlight w:val="none"/>
          <w:u w:val="single"/>
          <w:lang w:val="en-US" w:eastAsia="zh-CN"/>
          <w14:textFill>
            <w14:solidFill>
              <w14:schemeClr w14:val="tx1"/>
            </w14:solidFill>
          </w14:textFill>
        </w:rPr>
      </w:pPr>
      <w:bookmarkStart w:id="2" w:name="_Toc13223"/>
      <w:bookmarkStart w:id="3" w:name="_Toc21511"/>
      <w:r>
        <w:rPr>
          <w:rFonts w:hAnsi="宋体"/>
          <w:b/>
          <w:color w:val="000000" w:themeColor="text1"/>
          <w:sz w:val="32"/>
          <w:szCs w:val="32"/>
          <w:highlight w:val="none"/>
          <w14:textFill>
            <w14:solidFill>
              <w14:schemeClr w14:val="tx1"/>
            </w14:solidFill>
          </w14:textFill>
        </w:rPr>
        <w:t>项目</w:t>
      </w:r>
      <w:r>
        <w:rPr>
          <w:rFonts w:hint="eastAsia" w:hAnsi="宋体"/>
          <w:b/>
          <w:color w:val="000000" w:themeColor="text1"/>
          <w:sz w:val="32"/>
          <w:szCs w:val="32"/>
          <w:highlight w:val="none"/>
          <w14:textFill>
            <w14:solidFill>
              <w14:schemeClr w14:val="tx1"/>
            </w14:solidFill>
          </w14:textFill>
        </w:rPr>
        <w:t>编号：</w:t>
      </w:r>
      <w:bookmarkEnd w:id="2"/>
      <w:r>
        <w:rPr>
          <w:rFonts w:hint="eastAsia" w:hAnsi="宋体"/>
          <w:b/>
          <w:color w:val="000000" w:themeColor="text1"/>
          <w:sz w:val="32"/>
          <w:szCs w:val="32"/>
          <w:highlight w:val="none"/>
          <w:u w:val="single"/>
          <w:lang w:val="en-US" w:eastAsia="zh-CN"/>
          <w14:textFill>
            <w14:solidFill>
              <w14:schemeClr w14:val="tx1"/>
            </w14:solidFill>
          </w14:textFill>
        </w:rPr>
        <w:t xml:space="preserve">      SRCK-JG-HW-2025-001</w:t>
      </w:r>
      <w:bookmarkEnd w:id="3"/>
      <w:r>
        <w:rPr>
          <w:rFonts w:hint="eastAsia" w:hAnsi="宋体"/>
          <w:b/>
          <w:color w:val="000000" w:themeColor="text1"/>
          <w:sz w:val="32"/>
          <w:szCs w:val="32"/>
          <w:highlight w:val="none"/>
          <w:u w:val="single"/>
          <w:lang w:val="en-US" w:eastAsia="zh-CN"/>
          <w14:textFill>
            <w14:solidFill>
              <w14:schemeClr w14:val="tx1"/>
            </w14:solidFill>
          </w14:textFill>
        </w:rPr>
        <w:t xml:space="preserve">      </w:t>
      </w:r>
    </w:p>
    <w:p w14:paraId="572E9FB4">
      <w:pPr>
        <w:adjustRightInd w:val="0"/>
        <w:snapToGrid w:val="0"/>
        <w:spacing w:line="360" w:lineRule="auto"/>
        <w:ind w:firstLine="1606" w:firstLineChars="500"/>
        <w:outlineLvl w:val="0"/>
        <w:rPr>
          <w:rFonts w:hint="default" w:eastAsia="宋体"/>
          <w:color w:val="000000" w:themeColor="text1"/>
          <w:highlight w:val="none"/>
          <w:lang w:val="en-US" w:eastAsia="zh-CN"/>
          <w14:textFill>
            <w14:solidFill>
              <w14:schemeClr w14:val="tx1"/>
            </w14:solidFill>
          </w14:textFill>
        </w:rPr>
      </w:pPr>
      <w:bookmarkStart w:id="4" w:name="_Toc5537"/>
      <w:r>
        <w:rPr>
          <w:rFonts w:hint="eastAsia" w:hAnsi="宋体"/>
          <w:b/>
          <w:color w:val="000000" w:themeColor="text1"/>
          <w:sz w:val="32"/>
          <w:szCs w:val="32"/>
          <w:highlight w:val="none"/>
          <w:lang w:val="en-US" w:eastAsia="zh-CN"/>
          <w14:textFill>
            <w14:solidFill>
              <w14:schemeClr w14:val="tx1"/>
            </w14:solidFill>
          </w14:textFill>
        </w:rPr>
        <w:t>招标方式</w:t>
      </w:r>
      <w:r>
        <w:rPr>
          <w:rFonts w:hint="eastAsia" w:hAnsi="宋体"/>
          <w:b/>
          <w:color w:val="000000" w:themeColor="text1"/>
          <w:sz w:val="32"/>
          <w:szCs w:val="32"/>
          <w:highlight w:val="none"/>
          <w14:textFill>
            <w14:solidFill>
              <w14:schemeClr w14:val="tx1"/>
            </w14:solidFill>
          </w14:textFill>
        </w:rPr>
        <w:t>：</w:t>
      </w:r>
      <w:r>
        <w:rPr>
          <w:rFonts w:hint="eastAsia" w:hAnsi="宋体"/>
          <w:b/>
          <w:color w:val="000000" w:themeColor="text1"/>
          <w:sz w:val="32"/>
          <w:szCs w:val="32"/>
          <w:highlight w:val="none"/>
          <w:u w:val="single"/>
          <w:lang w:val="en-US" w:eastAsia="zh-CN"/>
          <w14:textFill>
            <w14:solidFill>
              <w14:schemeClr w14:val="tx1"/>
            </w14:solidFill>
          </w14:textFill>
        </w:rPr>
        <w:t xml:space="preserve">           公开招标</w:t>
      </w:r>
      <w:bookmarkEnd w:id="4"/>
      <w:r>
        <w:rPr>
          <w:rFonts w:hint="eastAsia" w:hAnsi="宋体"/>
          <w:b/>
          <w:color w:val="000000" w:themeColor="text1"/>
          <w:sz w:val="32"/>
          <w:szCs w:val="32"/>
          <w:highlight w:val="none"/>
          <w:u w:val="single"/>
          <w:lang w:val="en-US" w:eastAsia="zh-CN"/>
          <w14:textFill>
            <w14:solidFill>
              <w14:schemeClr w14:val="tx1"/>
            </w14:solidFill>
          </w14:textFill>
        </w:rPr>
        <w:t xml:space="preserve">            </w:t>
      </w:r>
    </w:p>
    <w:p w14:paraId="0C74684A">
      <w:pPr>
        <w:adjustRightInd w:val="0"/>
        <w:snapToGrid w:val="0"/>
        <w:spacing w:line="360" w:lineRule="auto"/>
        <w:ind w:firstLine="1606" w:firstLineChars="500"/>
        <w:outlineLvl w:val="0"/>
        <w:rPr>
          <w:rFonts w:hint="default" w:ascii="黑体" w:hAnsi="宋体" w:eastAsia="宋体"/>
          <w:b/>
          <w:color w:val="000000" w:themeColor="text1"/>
          <w:sz w:val="36"/>
          <w:szCs w:val="22"/>
          <w:highlight w:val="none"/>
          <w:u w:val="single"/>
          <w:lang w:val="en-US" w:eastAsia="zh-CN"/>
          <w14:textFill>
            <w14:solidFill>
              <w14:schemeClr w14:val="tx1"/>
            </w14:solidFill>
          </w14:textFill>
        </w:rPr>
      </w:pPr>
      <w:bookmarkStart w:id="5" w:name="_Toc13511"/>
      <w:bookmarkStart w:id="6" w:name="_Toc21583"/>
      <w:r>
        <w:rPr>
          <w:rFonts w:hint="eastAsia" w:hAnsi="宋体"/>
          <w:b/>
          <w:color w:val="000000" w:themeColor="text1"/>
          <w:sz w:val="32"/>
          <w:szCs w:val="32"/>
          <w:highlight w:val="none"/>
          <w14:textFill>
            <w14:solidFill>
              <w14:schemeClr w14:val="tx1"/>
            </w14:solidFill>
          </w14:textFill>
        </w:rPr>
        <w:t>代理机构：</w:t>
      </w:r>
      <w:bookmarkEnd w:id="5"/>
      <w:r>
        <w:rPr>
          <w:rFonts w:hint="eastAsia" w:hAnsi="宋体"/>
          <w:b/>
          <w:color w:val="000000" w:themeColor="text1"/>
          <w:sz w:val="32"/>
          <w:szCs w:val="32"/>
          <w:highlight w:val="none"/>
          <w:u w:val="single"/>
          <w:lang w:val="en-US" w:eastAsia="zh-CN"/>
          <w14:textFill>
            <w14:solidFill>
              <w14:schemeClr w14:val="tx1"/>
            </w14:solidFill>
          </w14:textFill>
        </w:rPr>
        <w:t>上饶市城投工程管理咨询有限公司</w:t>
      </w:r>
      <w:bookmarkEnd w:id="6"/>
      <w:r>
        <w:rPr>
          <w:rFonts w:hint="eastAsia" w:hAnsi="宋体"/>
          <w:b/>
          <w:color w:val="000000" w:themeColor="text1"/>
          <w:sz w:val="32"/>
          <w:szCs w:val="32"/>
          <w:highlight w:val="none"/>
          <w:u w:val="single"/>
          <w:lang w:val="en-US" w:eastAsia="zh-CN"/>
          <w14:textFill>
            <w14:solidFill>
              <w14:schemeClr w14:val="tx1"/>
            </w14:solidFill>
          </w14:textFill>
        </w:rPr>
        <w:t xml:space="preserve"> </w:t>
      </w:r>
    </w:p>
    <w:p w14:paraId="06C9D81B">
      <w:pPr>
        <w:spacing w:line="360" w:lineRule="auto"/>
        <w:jc w:val="center"/>
        <w:rPr>
          <w:rFonts w:hint="eastAsia" w:ascii="黑体" w:hAnsi="宋体" w:eastAsia="黑体"/>
          <w:b/>
          <w:color w:val="000000" w:themeColor="text1"/>
          <w:sz w:val="36"/>
          <w:highlight w:val="none"/>
          <w:lang w:val="en-US" w:eastAsia="zh-CN"/>
          <w14:textFill>
            <w14:solidFill>
              <w14:schemeClr w14:val="tx1"/>
            </w14:solidFill>
          </w14:textFill>
        </w:rPr>
      </w:pPr>
    </w:p>
    <w:p w14:paraId="3D17C166">
      <w:pPr>
        <w:pStyle w:val="7"/>
        <w:rPr>
          <w:rFonts w:hint="eastAsia" w:ascii="黑体" w:hAnsi="宋体" w:eastAsia="黑体"/>
          <w:b/>
          <w:color w:val="000000" w:themeColor="text1"/>
          <w:sz w:val="36"/>
          <w:highlight w:val="none"/>
          <w:lang w:val="en-US" w:eastAsia="zh-CN"/>
          <w14:textFill>
            <w14:solidFill>
              <w14:schemeClr w14:val="tx1"/>
            </w14:solidFill>
          </w14:textFill>
        </w:rPr>
      </w:pPr>
    </w:p>
    <w:p w14:paraId="61CFAB86">
      <w:pPr>
        <w:rPr>
          <w:rFonts w:hint="eastAsia"/>
          <w:color w:val="000000" w:themeColor="text1"/>
          <w:highlight w:val="none"/>
          <w:lang w:val="en-US" w:eastAsia="zh-CN"/>
          <w14:textFill>
            <w14:solidFill>
              <w14:schemeClr w14:val="tx1"/>
            </w14:solidFill>
          </w14:textFill>
        </w:rPr>
      </w:pPr>
    </w:p>
    <w:p w14:paraId="0685C22E">
      <w:pPr>
        <w:spacing w:line="360" w:lineRule="auto"/>
        <w:jc w:val="center"/>
        <w:rPr>
          <w:rFonts w:hint="default" w:ascii="黑体" w:hAnsi="宋体" w:eastAsia="黑体"/>
          <w:b/>
          <w:color w:val="000000" w:themeColor="text1"/>
          <w:sz w:val="36"/>
          <w:highlight w:val="none"/>
          <w:lang w:val="en-US" w:eastAsia="zh-CN"/>
          <w14:textFill>
            <w14:solidFill>
              <w14:schemeClr w14:val="tx1"/>
            </w14:solidFill>
          </w14:textFill>
        </w:rPr>
      </w:pPr>
      <w:r>
        <w:rPr>
          <w:rFonts w:hint="eastAsia" w:ascii="黑体" w:hAnsi="宋体" w:eastAsia="黑体"/>
          <w:b/>
          <w:color w:val="000000" w:themeColor="text1"/>
          <w:sz w:val="36"/>
          <w:highlight w:val="none"/>
          <w:lang w:val="en-US" w:eastAsia="zh-CN"/>
          <w14:textFill>
            <w14:solidFill>
              <w14:schemeClr w14:val="tx1"/>
            </w14:solidFill>
          </w14:textFill>
        </w:rPr>
        <w:t>2025年11月</w:t>
      </w:r>
    </w:p>
    <w:p w14:paraId="10049B14">
      <w:pPr>
        <w:pStyle w:val="9"/>
        <w:adjustRightInd w:val="0"/>
        <w:snapToGrid w:val="0"/>
        <w:spacing w:line="36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p>
    <w:p w14:paraId="242B49D8">
      <w:pPr>
        <w:pStyle w:val="9"/>
        <w:adjustRightInd w:val="0"/>
        <w:snapToGrid w:val="0"/>
        <w:spacing w:line="360" w:lineRule="auto"/>
        <w:ind w:left="0" w:leftChars="0" w:firstLine="0" w:firstLineChars="0"/>
        <w:jc w:val="both"/>
        <w:rPr>
          <w:rFonts w:hint="eastAsia" w:ascii="仿宋" w:hAnsi="仿宋" w:eastAsia="仿宋" w:cs="仿宋"/>
          <w:b/>
          <w:bCs/>
          <w:color w:val="000000" w:themeColor="text1"/>
          <w:sz w:val="24"/>
          <w:szCs w:val="24"/>
          <w:highlight w:val="none"/>
          <w14:textFill>
            <w14:solidFill>
              <w14:schemeClr w14:val="tx1"/>
            </w14:solidFill>
          </w14:textFill>
        </w:rPr>
      </w:pPr>
    </w:p>
    <w:p w14:paraId="0A2A452C">
      <w:pPr>
        <w:pageBreakBefore w:val="0"/>
        <w:topLinePunct w:val="0"/>
        <w:bidi w:val="0"/>
        <w:spacing w:line="360" w:lineRule="auto"/>
        <w:jc w:val="center"/>
        <w:textAlignment w:val="auto"/>
        <w:outlineLvl w:val="9"/>
        <w:rPr>
          <w:rFonts w:hint="eastAsia" w:ascii="宋体" w:hAnsi="宋体" w:eastAsia="宋体" w:cs="宋体"/>
          <w:b/>
          <w:bCs/>
          <w:i w:val="0"/>
          <w:iCs w:val="0"/>
          <w:color w:val="000000" w:themeColor="text1"/>
          <w:sz w:val="56"/>
          <w:szCs w:val="56"/>
          <w:highlight w:val="none"/>
          <w14:textFill>
            <w14:solidFill>
              <w14:schemeClr w14:val="tx1"/>
            </w14:solidFill>
          </w14:textFill>
        </w:rPr>
        <w:sectPr>
          <w:headerReference r:id="rId3" w:type="default"/>
          <w:footerReference r:id="rId4" w:type="default"/>
          <w:endnotePr>
            <w:numFmt w:val="decimal"/>
          </w:endnotePr>
          <w:pgSz w:w="11911" w:h="16838"/>
          <w:pgMar w:top="1134" w:right="1134" w:bottom="1134" w:left="1134" w:header="850" w:footer="992" w:gutter="0"/>
          <w:pgBorders>
            <w:top w:val="none" w:sz="0" w:space="0"/>
            <w:left w:val="none" w:sz="0" w:space="0"/>
            <w:bottom w:val="none" w:sz="0" w:space="0"/>
            <w:right w:val="none" w:sz="0" w:space="0"/>
          </w:pgBorders>
          <w:pgNumType w:fmt="numberInDash"/>
          <w:cols w:space="720" w:num="1"/>
          <w:rtlGutter w:val="0"/>
          <w:docGrid w:linePitch="285" w:charSpace="0"/>
        </w:sectPr>
      </w:pPr>
    </w:p>
    <w:p w14:paraId="0D2AEB4D">
      <w:pPr>
        <w:pageBreakBefore w:val="0"/>
        <w:topLinePunct w:val="0"/>
        <w:bidi w:val="0"/>
        <w:spacing w:line="360" w:lineRule="auto"/>
        <w:jc w:val="center"/>
        <w:textAlignment w:val="auto"/>
        <w:outlineLvl w:val="9"/>
        <w:rPr>
          <w:rFonts w:hint="eastAsia" w:ascii="宋体" w:hAnsi="宋体" w:eastAsia="宋体" w:cs="宋体"/>
          <w:b/>
          <w:bCs/>
          <w:i w:val="0"/>
          <w:iCs w:val="0"/>
          <w:color w:val="000000" w:themeColor="text1"/>
          <w:sz w:val="84"/>
          <w:szCs w:val="84"/>
          <w:highlight w:val="none"/>
          <w14:textFill>
            <w14:solidFill>
              <w14:schemeClr w14:val="tx1"/>
            </w14:solidFill>
          </w14:textFill>
        </w:rPr>
      </w:pPr>
      <w:r>
        <w:rPr>
          <w:rFonts w:hint="eastAsia" w:ascii="宋体" w:hAnsi="宋体" w:eastAsia="宋体" w:cs="宋体"/>
          <w:b/>
          <w:bCs/>
          <w:i w:val="0"/>
          <w:iCs w:val="0"/>
          <w:color w:val="000000" w:themeColor="text1"/>
          <w:sz w:val="56"/>
          <w:szCs w:val="56"/>
          <w:highlight w:val="none"/>
          <w14:textFill>
            <w14:solidFill>
              <w14:schemeClr w14:val="tx1"/>
            </w14:solidFill>
          </w14:textFill>
        </w:rPr>
        <w:t>目</w:t>
      </w:r>
      <w:r>
        <w:rPr>
          <w:rFonts w:hint="eastAsia" w:ascii="宋体" w:hAnsi="宋体" w:cs="宋体"/>
          <w:b/>
          <w:bCs/>
          <w:i w:val="0"/>
          <w:iCs w:val="0"/>
          <w:color w:val="000000" w:themeColor="text1"/>
          <w:sz w:val="56"/>
          <w:szCs w:val="56"/>
          <w:highlight w:val="none"/>
          <w:lang w:val="en-US" w:eastAsia="zh-CN"/>
          <w14:textFill>
            <w14:solidFill>
              <w14:schemeClr w14:val="tx1"/>
            </w14:solidFill>
          </w14:textFill>
        </w:rPr>
        <w:t xml:space="preserve">  </w:t>
      </w:r>
      <w:r>
        <w:rPr>
          <w:rFonts w:hint="eastAsia" w:ascii="宋体" w:hAnsi="宋体" w:eastAsia="宋体" w:cs="宋体"/>
          <w:b/>
          <w:bCs/>
          <w:i w:val="0"/>
          <w:iCs w:val="0"/>
          <w:color w:val="000000" w:themeColor="text1"/>
          <w:sz w:val="56"/>
          <w:szCs w:val="56"/>
          <w:highlight w:val="none"/>
          <w14:textFill>
            <w14:solidFill>
              <w14:schemeClr w14:val="tx1"/>
            </w14:solidFill>
          </w14:textFill>
        </w:rPr>
        <w:t>录</w:t>
      </w:r>
    </w:p>
    <w:p w14:paraId="304CB4DE">
      <w:pPr>
        <w:pStyle w:val="13"/>
        <w:tabs>
          <w:tab w:val="right" w:leader="dot" w:pos="10050"/>
        </w:tabs>
        <w:spacing w:line="360" w:lineRule="auto"/>
        <w:rPr>
          <w:color w:val="000000" w:themeColor="text1"/>
          <w:highlight w:val="none"/>
          <w14:textFill>
            <w14:solidFill>
              <w14:schemeClr w14:val="tx1"/>
            </w14:solidFill>
          </w14:textFill>
        </w:rPr>
      </w:pPr>
      <w:r>
        <w:rPr>
          <w:rFonts w:hint="eastAsia" w:ascii="宋体" w:hAnsi="宋体" w:eastAsia="宋体" w:cs="宋体"/>
          <w:i w:val="0"/>
          <w:iCs w:val="0"/>
          <w:color w:val="000000" w:themeColor="text1"/>
          <w:sz w:val="44"/>
          <w:szCs w:val="44"/>
          <w:highlight w:val="none"/>
          <w14:textFill>
            <w14:solidFill>
              <w14:schemeClr w14:val="tx1"/>
            </w14:solidFill>
          </w14:textFill>
        </w:rPr>
        <w:fldChar w:fldCharType="begin"/>
      </w:r>
      <w:r>
        <w:rPr>
          <w:rFonts w:hint="eastAsia" w:ascii="宋体" w:hAnsi="宋体" w:eastAsia="宋体" w:cs="宋体"/>
          <w:i w:val="0"/>
          <w:iCs w:val="0"/>
          <w:color w:val="000000" w:themeColor="text1"/>
          <w:sz w:val="44"/>
          <w:szCs w:val="44"/>
          <w:highlight w:val="none"/>
          <w14:textFill>
            <w14:solidFill>
              <w14:schemeClr w14:val="tx1"/>
            </w14:solidFill>
          </w14:textFill>
        </w:rPr>
        <w:instrText xml:space="preserve">TOC \o "1-3" \h \u </w:instrText>
      </w:r>
      <w:r>
        <w:rPr>
          <w:rFonts w:hint="eastAsia" w:ascii="宋体" w:hAnsi="宋体" w:eastAsia="宋体" w:cs="宋体"/>
          <w:i w:val="0"/>
          <w:iCs w:val="0"/>
          <w:color w:val="000000" w:themeColor="text1"/>
          <w:sz w:val="44"/>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TOC \o "1-1" \h \u </w:instrText>
      </w:r>
      <w:r>
        <w:rPr>
          <w:color w:val="000000" w:themeColor="text1"/>
          <w:highlight w:val="none"/>
          <w14:textFill>
            <w14:solidFill>
              <w14:schemeClr w14:val="tx1"/>
            </w14:solidFill>
          </w14:textFill>
        </w:rPr>
        <w:fldChar w:fldCharType="separate"/>
      </w:r>
    </w:p>
    <w:sdt>
      <w:sdtPr>
        <w:rPr>
          <w:rFonts w:ascii="宋体" w:hAnsi="宋体" w:eastAsia="宋体" w:cs="Times New Roman"/>
          <w:kern w:val="2"/>
          <w:sz w:val="21"/>
          <w:lang w:val="en-US" w:eastAsia="zh-CN" w:bidi="ar-SA"/>
        </w:rPr>
        <w:id w:val="147461424"/>
        <w15:color w:val="DBDBDB"/>
        <w:docPartObj>
          <w:docPartGallery w:val="Table of Contents"/>
          <w:docPartUnique/>
        </w:docPartObj>
      </w:sdtPr>
      <w:sdtEndPr>
        <w:rPr>
          <w:rFonts w:hint="eastAsia" w:ascii="宋体" w:hAnsi="宋体" w:eastAsia="宋体" w:cs="宋体"/>
          <w:color w:val="000000" w:themeColor="text1"/>
          <w:kern w:val="2"/>
          <w:sz w:val="20"/>
          <w:szCs w:val="28"/>
          <w:highlight w:val="yellow"/>
          <w:lang w:val="en-US" w:eastAsia="zh-CN" w:bidi="ar-SA"/>
          <w14:textFill>
            <w14:solidFill>
              <w14:schemeClr w14:val="tx1"/>
            </w14:solidFill>
          </w14:textFill>
        </w:rPr>
      </w:sdtEndPr>
      <w:sdtContent>
        <w:p w14:paraId="5246E83F">
          <w:pPr>
            <w:spacing w:before="0" w:beforeLines="0" w:after="0" w:afterLines="0" w:line="240" w:lineRule="auto"/>
            <w:ind w:left="0" w:leftChars="0" w:right="0" w:rightChars="0" w:firstLine="0" w:firstLineChars="0"/>
            <w:jc w:val="center"/>
          </w:pPr>
        </w:p>
        <w:p w14:paraId="294588BF">
          <w:pPr>
            <w:pStyle w:val="13"/>
            <w:tabs>
              <w:tab w:val="right" w:leader="dot" w:pos="9643"/>
            </w:tabs>
          </w:pPr>
          <w:r>
            <w:rPr>
              <w:rFonts w:hint="eastAsia" w:ascii="宋体" w:hAnsi="宋体" w:eastAsia="宋体" w:cs="宋体"/>
              <w:color w:val="000000" w:themeColor="text1"/>
              <w:sz w:val="28"/>
              <w:szCs w:val="28"/>
              <w:highlight w:val="yellow"/>
              <w14:textFill>
                <w14:solidFill>
                  <w14:schemeClr w14:val="tx1"/>
                </w14:solidFill>
              </w14:textFill>
            </w:rPr>
            <w:fldChar w:fldCharType="begin"/>
          </w:r>
          <w:r>
            <w:rPr>
              <w:rFonts w:hint="eastAsia" w:ascii="宋体" w:hAnsi="宋体" w:eastAsia="宋体" w:cs="宋体"/>
              <w:color w:val="000000" w:themeColor="text1"/>
              <w:sz w:val="28"/>
              <w:szCs w:val="28"/>
              <w:highlight w:val="yellow"/>
              <w14:textFill>
                <w14:solidFill>
                  <w14:schemeClr w14:val="tx1"/>
                </w14:solidFill>
              </w14:textFill>
            </w:rPr>
            <w:instrText xml:space="preserve">TOC \o "1-1" \h \u </w:instrText>
          </w:r>
          <w:r>
            <w:rPr>
              <w:rFonts w:hint="eastAsia" w:ascii="宋体" w:hAnsi="宋体" w:eastAsia="宋体" w:cs="宋体"/>
              <w:color w:val="000000" w:themeColor="text1"/>
              <w:sz w:val="28"/>
              <w:szCs w:val="28"/>
              <w:highlight w:val="yellow"/>
              <w14:textFill>
                <w14:solidFill>
                  <w14:schemeClr w14:val="tx1"/>
                </w14:solidFill>
              </w14:textFill>
            </w:rPr>
            <w:fldChar w:fldCharType="separate"/>
          </w:r>
        </w:p>
        <w:p w14:paraId="032B21C5">
          <w:pPr>
            <w:pStyle w:val="13"/>
            <w:tabs>
              <w:tab w:val="right" w:leader="dot" w:pos="9643"/>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begin"/>
          </w:r>
          <w:r>
            <w:rPr>
              <w:rFonts w:hint="eastAsia" w:asciiTheme="minorEastAsia" w:hAnsiTheme="minorEastAsia" w:eastAsiaTheme="minorEastAsia" w:cstheme="minorEastAsia"/>
              <w:sz w:val="32"/>
              <w:szCs w:val="32"/>
              <w:highlight w:val="yellow"/>
            </w:rPr>
            <w:instrText xml:space="preserve"> HYPERLINK \l _Toc2756 </w:instrText>
          </w:r>
          <w:r>
            <w:rPr>
              <w:rFonts w:hint="eastAsia" w:asciiTheme="minorEastAsia" w:hAnsiTheme="minorEastAsia" w:eastAsiaTheme="minorEastAsia" w:cstheme="minorEastAsia"/>
              <w:sz w:val="32"/>
              <w:szCs w:val="32"/>
              <w:highlight w:val="yellow"/>
            </w:rPr>
            <w:fldChar w:fldCharType="separate"/>
          </w:r>
          <w:r>
            <w:rPr>
              <w:rFonts w:hint="eastAsia" w:asciiTheme="minorEastAsia" w:hAnsiTheme="minorEastAsia" w:eastAsiaTheme="minorEastAsia" w:cstheme="minorEastAsia"/>
              <w:bCs/>
              <w:i w:val="0"/>
              <w:iCs w:val="0"/>
              <w:sz w:val="32"/>
              <w:szCs w:val="32"/>
              <w:highlight w:val="none"/>
              <w:lang w:val="en-US" w:eastAsia="zh-CN"/>
            </w:rPr>
            <w:t>第一章</w:t>
          </w:r>
          <w:r>
            <w:rPr>
              <w:rFonts w:hint="eastAsia" w:asciiTheme="minorEastAsia" w:hAnsiTheme="minorEastAsia" w:eastAsiaTheme="minorEastAsia" w:cstheme="minorEastAsia"/>
              <w:bCs/>
              <w:i w:val="0"/>
              <w:iCs w:val="0"/>
              <w:sz w:val="32"/>
              <w:szCs w:val="32"/>
              <w:highlight w:val="none"/>
            </w:rPr>
            <w:t xml:space="preserve"> </w:t>
          </w:r>
          <w:r>
            <w:rPr>
              <w:rFonts w:hint="eastAsia" w:asciiTheme="minorEastAsia" w:hAnsiTheme="minorEastAsia" w:eastAsiaTheme="minorEastAsia" w:cstheme="minorEastAsia"/>
              <w:bCs/>
              <w:i w:val="0"/>
              <w:iCs w:val="0"/>
              <w:sz w:val="32"/>
              <w:szCs w:val="32"/>
              <w:highlight w:val="none"/>
              <w:lang w:val="en-US" w:eastAsia="zh-CN"/>
            </w:rPr>
            <w:t xml:space="preserve"> </w:t>
          </w:r>
          <w:r>
            <w:rPr>
              <w:rFonts w:hint="eastAsia" w:asciiTheme="minorEastAsia" w:hAnsiTheme="minorEastAsia" w:eastAsiaTheme="minorEastAsia" w:cstheme="minorEastAsia"/>
              <w:bCs/>
              <w:i w:val="0"/>
              <w:iCs w:val="0"/>
              <w:sz w:val="32"/>
              <w:szCs w:val="32"/>
              <w:highlight w:val="none"/>
            </w:rPr>
            <w:t>投标邀请</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_Toc2756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end"/>
          </w:r>
        </w:p>
        <w:p w14:paraId="239BC63C">
          <w:pPr>
            <w:pStyle w:val="13"/>
            <w:tabs>
              <w:tab w:val="right" w:leader="dot" w:pos="9643"/>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begin"/>
          </w:r>
          <w:r>
            <w:rPr>
              <w:rFonts w:hint="eastAsia" w:asciiTheme="minorEastAsia" w:hAnsiTheme="minorEastAsia" w:eastAsiaTheme="minorEastAsia" w:cstheme="minorEastAsia"/>
              <w:sz w:val="32"/>
              <w:szCs w:val="32"/>
              <w:highlight w:val="yellow"/>
            </w:rPr>
            <w:instrText xml:space="preserve"> HYPERLINK \l _Toc22805 </w:instrText>
          </w:r>
          <w:r>
            <w:rPr>
              <w:rFonts w:hint="eastAsia" w:asciiTheme="minorEastAsia" w:hAnsiTheme="minorEastAsia" w:eastAsiaTheme="minorEastAsia" w:cstheme="minorEastAsia"/>
              <w:sz w:val="32"/>
              <w:szCs w:val="32"/>
              <w:highlight w:val="yellow"/>
            </w:rPr>
            <w:fldChar w:fldCharType="separate"/>
          </w:r>
          <w:r>
            <w:rPr>
              <w:rFonts w:hint="eastAsia" w:asciiTheme="minorEastAsia" w:hAnsiTheme="minorEastAsia" w:eastAsiaTheme="minorEastAsia" w:cstheme="minorEastAsia"/>
              <w:bCs/>
              <w:i w:val="0"/>
              <w:iCs w:val="0"/>
              <w:sz w:val="32"/>
              <w:szCs w:val="32"/>
              <w:highlight w:val="none"/>
              <w:lang w:val="en-US" w:eastAsia="zh-CN"/>
            </w:rPr>
            <w:t xml:space="preserve">第二章  </w:t>
          </w:r>
          <w:r>
            <w:rPr>
              <w:rFonts w:hint="eastAsia" w:asciiTheme="minorEastAsia" w:hAnsiTheme="minorEastAsia" w:eastAsiaTheme="minorEastAsia" w:cstheme="minorEastAsia"/>
              <w:bCs/>
              <w:i w:val="0"/>
              <w:iCs w:val="0"/>
              <w:sz w:val="32"/>
              <w:szCs w:val="32"/>
              <w:highlight w:val="none"/>
              <w:lang w:eastAsia="zh-CN"/>
            </w:rPr>
            <w:t>投标人须知及</w:t>
          </w:r>
          <w:r>
            <w:rPr>
              <w:rFonts w:hint="eastAsia" w:asciiTheme="minorEastAsia" w:hAnsiTheme="minorEastAsia" w:eastAsiaTheme="minorEastAsia" w:cstheme="minorEastAsia"/>
              <w:bCs/>
              <w:i w:val="0"/>
              <w:iCs w:val="0"/>
              <w:sz w:val="32"/>
              <w:szCs w:val="32"/>
              <w:highlight w:val="none"/>
              <w:lang w:val="en-US" w:eastAsia="zh-CN"/>
            </w:rPr>
            <w:t>前</w:t>
          </w:r>
          <w:r>
            <w:rPr>
              <w:rFonts w:hint="eastAsia" w:asciiTheme="minorEastAsia" w:hAnsiTheme="minorEastAsia" w:eastAsiaTheme="minorEastAsia" w:cstheme="minorEastAsia"/>
              <w:bCs/>
              <w:i w:val="0"/>
              <w:iCs w:val="0"/>
              <w:sz w:val="32"/>
              <w:szCs w:val="32"/>
              <w:highlight w:val="none"/>
              <w:lang w:eastAsia="zh-CN"/>
            </w:rPr>
            <w:t>附表</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lang w:val="en-US" w:eastAsia="zh-CN"/>
            </w:rPr>
            <w:t>4</w:t>
          </w: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end"/>
          </w:r>
        </w:p>
        <w:p w14:paraId="37D368EB">
          <w:pPr>
            <w:pStyle w:val="13"/>
            <w:tabs>
              <w:tab w:val="right" w:pos="2400"/>
              <w:tab w:val="right" w:leader="dot" w:pos="9643"/>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begin"/>
          </w:r>
          <w:r>
            <w:rPr>
              <w:rFonts w:hint="eastAsia" w:asciiTheme="minorEastAsia" w:hAnsiTheme="minorEastAsia" w:eastAsiaTheme="minorEastAsia" w:cstheme="minorEastAsia"/>
              <w:sz w:val="32"/>
              <w:szCs w:val="32"/>
              <w:highlight w:val="yellow"/>
            </w:rPr>
            <w:instrText xml:space="preserve"> HYPERLINK \l _Toc32135 </w:instrText>
          </w:r>
          <w:r>
            <w:rPr>
              <w:rFonts w:hint="eastAsia" w:asciiTheme="minorEastAsia" w:hAnsiTheme="minorEastAsia" w:eastAsiaTheme="minorEastAsia" w:cstheme="minorEastAsia"/>
              <w:sz w:val="32"/>
              <w:szCs w:val="32"/>
              <w:highlight w:val="yellow"/>
            </w:rPr>
            <w:fldChar w:fldCharType="separate"/>
          </w:r>
          <w:r>
            <w:rPr>
              <w:rFonts w:hint="eastAsia" w:asciiTheme="minorEastAsia" w:hAnsiTheme="minorEastAsia" w:eastAsiaTheme="minorEastAsia" w:cstheme="minorEastAsia"/>
              <w:bCs/>
              <w:i w:val="0"/>
              <w:iCs w:val="0"/>
              <w:sz w:val="32"/>
              <w:szCs w:val="32"/>
              <w:highlight w:val="none"/>
              <w:lang w:val="en-US" w:eastAsia="zh-CN"/>
            </w:rPr>
            <w:t>第三章</w:t>
          </w:r>
          <w:r>
            <w:rPr>
              <w:rFonts w:hint="eastAsia" w:asciiTheme="minorEastAsia" w:hAnsiTheme="minorEastAsia" w:eastAsiaTheme="minorEastAsia" w:cstheme="minorEastAsia"/>
              <w:bCs/>
              <w:i w:val="0"/>
              <w:iCs w:val="0"/>
              <w:sz w:val="32"/>
              <w:szCs w:val="32"/>
              <w:highlight w:val="none"/>
              <w:lang w:val="en-US" w:eastAsia="zh-CN"/>
            </w:rPr>
            <w:tab/>
          </w:r>
          <w:r>
            <w:rPr>
              <w:rFonts w:hint="eastAsia" w:asciiTheme="minorEastAsia" w:hAnsiTheme="minorEastAsia" w:eastAsiaTheme="minorEastAsia" w:cstheme="minorEastAsia"/>
              <w:bCs/>
              <w:i w:val="0"/>
              <w:iCs w:val="0"/>
              <w:sz w:val="32"/>
              <w:szCs w:val="32"/>
              <w:highlight w:val="none"/>
              <w:lang w:val="en-US" w:eastAsia="zh-CN"/>
            </w:rPr>
            <w:t>技术参数、要求及商务条款</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_Toc32135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23</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end"/>
          </w:r>
        </w:p>
        <w:p w14:paraId="2FC4724D">
          <w:pPr>
            <w:pStyle w:val="13"/>
            <w:tabs>
              <w:tab w:val="right" w:leader="dot" w:pos="9643"/>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begin"/>
          </w:r>
          <w:r>
            <w:rPr>
              <w:rFonts w:hint="eastAsia" w:asciiTheme="minorEastAsia" w:hAnsiTheme="minorEastAsia" w:eastAsiaTheme="minorEastAsia" w:cstheme="minorEastAsia"/>
              <w:sz w:val="32"/>
              <w:szCs w:val="32"/>
              <w:highlight w:val="yellow"/>
            </w:rPr>
            <w:instrText xml:space="preserve"> HYPERLINK \l _Toc29873 </w:instrText>
          </w:r>
          <w:r>
            <w:rPr>
              <w:rFonts w:hint="eastAsia" w:asciiTheme="minorEastAsia" w:hAnsiTheme="minorEastAsia" w:eastAsiaTheme="minorEastAsia" w:cstheme="minorEastAsia"/>
              <w:sz w:val="32"/>
              <w:szCs w:val="32"/>
              <w:highlight w:val="yellow"/>
            </w:rPr>
            <w:fldChar w:fldCharType="separate"/>
          </w:r>
          <w:r>
            <w:rPr>
              <w:rFonts w:hint="eastAsia" w:asciiTheme="minorEastAsia" w:hAnsiTheme="minorEastAsia" w:eastAsiaTheme="minorEastAsia" w:cstheme="minorEastAsia"/>
              <w:i w:val="0"/>
              <w:iCs w:val="0"/>
              <w:kern w:val="0"/>
              <w:sz w:val="32"/>
              <w:szCs w:val="32"/>
              <w:highlight w:val="none"/>
              <w:lang w:val="en-US" w:eastAsia="zh-CN" w:bidi="ar"/>
            </w:rPr>
            <w:t>第四章 采购合同</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_Toc29873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- 38 -</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end"/>
          </w:r>
        </w:p>
        <w:p w14:paraId="32C7CAAF">
          <w:pPr>
            <w:pStyle w:val="13"/>
            <w:tabs>
              <w:tab w:val="right" w:leader="dot" w:pos="9643"/>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begin"/>
          </w:r>
          <w:r>
            <w:rPr>
              <w:rFonts w:hint="eastAsia" w:asciiTheme="minorEastAsia" w:hAnsiTheme="minorEastAsia" w:eastAsiaTheme="minorEastAsia" w:cstheme="minorEastAsia"/>
              <w:sz w:val="32"/>
              <w:szCs w:val="32"/>
              <w:highlight w:val="yellow"/>
            </w:rPr>
            <w:instrText xml:space="preserve"> HYPERLINK \l _Toc27039 </w:instrText>
          </w:r>
          <w:r>
            <w:rPr>
              <w:rFonts w:hint="eastAsia" w:asciiTheme="minorEastAsia" w:hAnsiTheme="minorEastAsia" w:eastAsiaTheme="minorEastAsia" w:cstheme="minorEastAsia"/>
              <w:sz w:val="32"/>
              <w:szCs w:val="32"/>
              <w:highlight w:val="yellow"/>
            </w:rPr>
            <w:fldChar w:fldCharType="separate"/>
          </w:r>
          <w:r>
            <w:rPr>
              <w:rFonts w:hint="eastAsia" w:asciiTheme="minorEastAsia" w:hAnsiTheme="minorEastAsia" w:eastAsiaTheme="minorEastAsia" w:cstheme="minorEastAsia"/>
              <w:i w:val="0"/>
              <w:iCs w:val="0"/>
              <w:kern w:val="0"/>
              <w:sz w:val="32"/>
              <w:szCs w:val="32"/>
              <w:highlight w:val="none"/>
              <w:lang w:val="en-US" w:eastAsia="zh-CN" w:bidi="ar"/>
            </w:rPr>
            <w:t>第五章 投标文件</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_Toc27039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- 39 -</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color w:val="000000" w:themeColor="text1"/>
              <w:sz w:val="32"/>
              <w:szCs w:val="32"/>
              <w:highlight w:val="yellow"/>
              <w14:textFill>
                <w14:solidFill>
                  <w14:schemeClr w14:val="tx1"/>
                </w14:solidFill>
              </w14:textFill>
            </w:rPr>
            <w:fldChar w:fldCharType="end"/>
          </w:r>
        </w:p>
        <w:p w14:paraId="545A9451">
          <w:pPr>
            <w:pStyle w:val="67"/>
            <w:tabs>
              <w:tab w:val="right" w:leader="dot" w:pos="9643"/>
            </w:tabs>
            <w:spacing w:line="360" w:lineRule="auto"/>
            <w:rPr>
              <w:rFonts w:hint="eastAsia" w:ascii="宋体" w:hAnsi="宋体" w:eastAsia="宋体" w:cs="宋体"/>
              <w:color w:val="000000" w:themeColor="text1"/>
              <w:sz w:val="20"/>
              <w:szCs w:val="28"/>
              <w:highlight w:val="yellow"/>
              <w14:textFill>
                <w14:solidFill>
                  <w14:schemeClr w14:val="tx1"/>
                </w14:solidFill>
              </w14:textFill>
            </w:rPr>
          </w:pPr>
          <w:r>
            <w:rPr>
              <w:rFonts w:hint="eastAsia" w:ascii="宋体" w:hAnsi="宋体" w:eastAsia="宋体" w:cs="宋体"/>
              <w:color w:val="000000" w:themeColor="text1"/>
              <w:szCs w:val="28"/>
              <w:highlight w:val="yellow"/>
              <w14:textFill>
                <w14:solidFill>
                  <w14:schemeClr w14:val="tx1"/>
                </w14:solidFill>
              </w14:textFill>
            </w:rPr>
            <w:fldChar w:fldCharType="end"/>
          </w:r>
          <w:bookmarkStart w:id="41" w:name="_GoBack"/>
          <w:bookmarkEnd w:id="41"/>
        </w:p>
      </w:sdtContent>
    </w:sdt>
    <w:p w14:paraId="39C7CE86">
      <w:pPr>
        <w:pStyle w:val="67"/>
        <w:tabs>
          <w:tab w:val="right" w:leader="dot" w:pos="9643"/>
        </w:tabs>
        <w:spacing w:line="360" w:lineRule="auto"/>
        <w:rPr>
          <w:rFonts w:hint="eastAsia" w:ascii="宋体" w:hAnsi="宋体" w:eastAsia="宋体" w:cs="宋体"/>
          <w:color w:val="000000" w:themeColor="text1"/>
          <w:sz w:val="20"/>
          <w:szCs w:val="28"/>
          <w:highlight w:val="yellow"/>
          <w14:textFill>
            <w14:solidFill>
              <w14:schemeClr w14:val="tx1"/>
            </w14:solidFill>
          </w14:textFill>
        </w:rPr>
      </w:pPr>
    </w:p>
    <w:p w14:paraId="2C065FD9">
      <w:pPr>
        <w:pStyle w:val="67"/>
        <w:tabs>
          <w:tab w:val="right" w:leader="dot" w:pos="9643"/>
        </w:tabs>
        <w:rPr>
          <w:color w:val="000000" w:themeColor="text1"/>
          <w:sz w:val="28"/>
          <w:szCs w:val="28"/>
          <w:highlight w:val="none"/>
          <w14:textFill>
            <w14:solidFill>
              <w14:schemeClr w14:val="tx1"/>
            </w14:solidFill>
          </w14:textFill>
        </w:rPr>
      </w:pPr>
    </w:p>
    <w:p w14:paraId="6E5D248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end"/>
      </w:r>
    </w:p>
    <w:p w14:paraId="09AAC972">
      <w:pPr>
        <w:pStyle w:val="14"/>
        <w:tabs>
          <w:tab w:val="right" w:leader="dot" w:pos="10050"/>
        </w:tabs>
        <w:spacing w:line="360" w:lineRule="auto"/>
        <w:ind w:left="0" w:leftChars="0" w:firstLine="0" w:firstLineChars="0"/>
        <w:rPr>
          <w:rFonts w:hint="eastAsia" w:ascii="宋体" w:hAnsi="宋体" w:eastAsia="宋体" w:cs="宋体"/>
          <w:i w:val="0"/>
          <w:iCs w:val="0"/>
          <w:color w:val="000000" w:themeColor="text1"/>
          <w:sz w:val="28"/>
          <w:szCs w:val="44"/>
          <w:highlight w:val="none"/>
          <w14:textFill>
            <w14:solidFill>
              <w14:schemeClr w14:val="tx1"/>
            </w14:solidFill>
          </w14:textFill>
        </w:rPr>
      </w:pPr>
    </w:p>
    <w:p w14:paraId="03E5DB7C">
      <w:pPr>
        <w:pageBreakBefore w:val="0"/>
        <w:topLinePunct w:val="0"/>
        <w:bidi w:val="0"/>
        <w:spacing w:line="360" w:lineRule="auto"/>
        <w:textAlignment w:val="auto"/>
        <w:outlineLvl w:val="9"/>
        <w:rPr>
          <w:rFonts w:hint="eastAsia" w:ascii="宋体" w:hAnsi="宋体" w:eastAsia="宋体" w:cs="宋体"/>
          <w:i w:val="0"/>
          <w:iCs w:val="0"/>
          <w:color w:val="000000" w:themeColor="text1"/>
          <w:sz w:val="28"/>
          <w:szCs w:val="44"/>
          <w:highlight w:val="none"/>
          <w14:textFill>
            <w14:solidFill>
              <w14:schemeClr w14:val="tx1"/>
            </w14:solidFill>
          </w14:textFill>
        </w:rPr>
      </w:pPr>
    </w:p>
    <w:p w14:paraId="2177BB60">
      <w:pPr>
        <w:pageBreakBefore w:val="0"/>
        <w:topLinePunct w:val="0"/>
        <w:bidi w:val="0"/>
        <w:spacing w:line="360" w:lineRule="auto"/>
        <w:textAlignment w:val="auto"/>
        <w:outlineLvl w:val="9"/>
        <w:rPr>
          <w:rFonts w:hint="eastAsia" w:ascii="宋体" w:hAnsi="宋体" w:eastAsia="宋体" w:cs="宋体"/>
          <w:i w:val="0"/>
          <w:iCs w:val="0"/>
          <w:color w:val="000000" w:themeColor="text1"/>
          <w:sz w:val="28"/>
          <w:szCs w:val="44"/>
          <w:highlight w:val="none"/>
          <w14:textFill>
            <w14:solidFill>
              <w14:schemeClr w14:val="tx1"/>
            </w14:solidFill>
          </w14:textFill>
        </w:rPr>
      </w:pPr>
      <w:r>
        <w:rPr>
          <w:rFonts w:hint="eastAsia" w:ascii="宋体" w:hAnsi="宋体" w:eastAsia="宋体" w:cs="宋体"/>
          <w:i w:val="0"/>
          <w:iCs w:val="0"/>
          <w:color w:val="000000" w:themeColor="text1"/>
          <w:sz w:val="28"/>
          <w:szCs w:val="44"/>
          <w:highlight w:val="none"/>
          <w14:textFill>
            <w14:solidFill>
              <w14:schemeClr w14:val="tx1"/>
            </w14:solidFill>
          </w14:textFill>
        </w:rPr>
        <w:fldChar w:fldCharType="end"/>
      </w:r>
    </w:p>
    <w:p w14:paraId="57F9B6C7">
      <w:pPr>
        <w:pStyle w:val="7"/>
        <w:spacing w:line="360" w:lineRule="auto"/>
        <w:rPr>
          <w:rFonts w:hint="eastAsia" w:ascii="宋体" w:hAnsi="宋体" w:eastAsia="宋体" w:cs="宋体"/>
          <w:i w:val="0"/>
          <w:iCs w:val="0"/>
          <w:color w:val="000000" w:themeColor="text1"/>
          <w:sz w:val="28"/>
          <w:szCs w:val="44"/>
          <w:highlight w:val="none"/>
          <w14:textFill>
            <w14:solidFill>
              <w14:schemeClr w14:val="tx1"/>
            </w14:solidFill>
          </w14:textFill>
        </w:rPr>
      </w:pPr>
    </w:p>
    <w:p w14:paraId="618B4D63">
      <w:pPr>
        <w:pStyle w:val="7"/>
        <w:spacing w:line="360" w:lineRule="auto"/>
        <w:rPr>
          <w:rFonts w:hint="eastAsia" w:ascii="宋体" w:hAnsi="宋体" w:eastAsia="宋体" w:cs="宋体"/>
          <w:i w:val="0"/>
          <w:iCs w:val="0"/>
          <w:color w:val="000000" w:themeColor="text1"/>
          <w:sz w:val="28"/>
          <w:szCs w:val="44"/>
          <w:highlight w:val="none"/>
          <w14:textFill>
            <w14:solidFill>
              <w14:schemeClr w14:val="tx1"/>
            </w14:solidFill>
          </w14:textFill>
        </w:rPr>
      </w:pPr>
    </w:p>
    <w:p w14:paraId="068F4822">
      <w:pPr>
        <w:pageBreakBefore w:val="0"/>
        <w:topLinePunct w:val="0"/>
        <w:bidi w:val="0"/>
        <w:spacing w:line="360" w:lineRule="auto"/>
        <w:textAlignment w:val="auto"/>
        <w:outlineLvl w:val="9"/>
        <w:rPr>
          <w:rFonts w:hint="eastAsia" w:ascii="宋体" w:hAnsi="宋体" w:eastAsia="宋体" w:cs="宋体"/>
          <w:b/>
          <w:bCs/>
          <w:i w:val="0"/>
          <w:iCs w:val="0"/>
          <w:color w:val="000000" w:themeColor="text1"/>
          <w:kern w:val="0"/>
          <w:sz w:val="32"/>
          <w:szCs w:val="32"/>
          <w:highlight w:val="none"/>
          <w14:textFill>
            <w14:solidFill>
              <w14:schemeClr w14:val="tx1"/>
            </w14:solidFill>
          </w14:textFill>
        </w:rPr>
      </w:pPr>
    </w:p>
    <w:p w14:paraId="4248403E">
      <w:pPr>
        <w:pageBreakBefore w:val="0"/>
        <w:topLinePunct w:val="0"/>
        <w:bidi w:val="0"/>
        <w:spacing w:line="360" w:lineRule="auto"/>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p>
    <w:p w14:paraId="1E9EFEF8">
      <w:pPr>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77F720AD">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70BCD92A">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3D6F15C0">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397CFDA4">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5A584DE0">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32A017D3">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34D561CD">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263EA988">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6A7170A0">
      <w:pPr>
        <w:rPr>
          <w:rFonts w:hint="eastAsia" w:ascii="宋体" w:hAnsi="宋体" w:eastAsia="宋体" w:cs="宋体"/>
          <w:i w:val="0"/>
          <w:iCs w:val="0"/>
          <w:color w:val="000000" w:themeColor="text1"/>
          <w:highlight w:val="none"/>
          <w14:textFill>
            <w14:solidFill>
              <w14:schemeClr w14:val="tx1"/>
            </w14:solidFill>
          </w14:textFill>
        </w:rPr>
      </w:pPr>
    </w:p>
    <w:p w14:paraId="621B4A5A">
      <w:pPr>
        <w:pStyle w:val="7"/>
        <w:rPr>
          <w:rFonts w:hint="eastAsia" w:ascii="宋体" w:hAnsi="宋体" w:eastAsia="宋体" w:cs="宋体"/>
          <w:i w:val="0"/>
          <w:iCs w:val="0"/>
          <w:color w:val="000000" w:themeColor="text1"/>
          <w:highlight w:val="none"/>
          <w14:textFill>
            <w14:solidFill>
              <w14:schemeClr w14:val="tx1"/>
            </w14:solidFill>
          </w14:textFill>
        </w:rPr>
      </w:pPr>
    </w:p>
    <w:p w14:paraId="3E919773">
      <w:pPr>
        <w:rPr>
          <w:rFonts w:hint="eastAsia"/>
          <w:color w:val="000000" w:themeColor="text1"/>
          <w:highlight w:val="none"/>
          <w14:textFill>
            <w14:solidFill>
              <w14:schemeClr w14:val="tx1"/>
            </w14:solidFill>
          </w14:textFill>
        </w:rPr>
        <w:sectPr>
          <w:footerReference r:id="rId5" w:type="default"/>
          <w:pgSz w:w="11911" w:h="16849"/>
          <w:pgMar w:top="1440" w:right="1800" w:bottom="1440" w:left="1800" w:header="567" w:footer="720" w:gutter="0"/>
          <w:pgNumType w:fmt="decimal" w:start="1"/>
          <w:cols w:space="720" w:num="1"/>
          <w:docGrid w:linePitch="314" w:charSpace="0"/>
        </w:sectPr>
      </w:pPr>
    </w:p>
    <w:p w14:paraId="5F2CC81B">
      <w:pPr>
        <w:rPr>
          <w:rFonts w:hint="eastAsia"/>
          <w:color w:val="000000" w:themeColor="text1"/>
          <w:highlight w:val="none"/>
          <w14:textFill>
            <w14:solidFill>
              <w14:schemeClr w14:val="tx1"/>
            </w14:solidFill>
          </w14:textFill>
        </w:rPr>
      </w:pPr>
    </w:p>
    <w:p w14:paraId="5E11A2AA">
      <w:pPr>
        <w:pStyle w:val="7"/>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78737BBD">
      <w:pPr>
        <w:pageBreakBefore w:val="0"/>
        <w:numPr>
          <w:ilvl w:val="0"/>
          <w:numId w:val="0"/>
        </w:numPr>
        <w:topLinePunct w:val="0"/>
        <w:bidi w:val="0"/>
        <w:spacing w:line="360" w:lineRule="auto"/>
        <w:ind w:right="344" w:rightChars="0"/>
        <w:jc w:val="center"/>
        <w:textAlignment w:val="auto"/>
        <w:outlineLvl w:val="0"/>
        <w:rPr>
          <w:rFonts w:hint="eastAsia" w:ascii="宋体" w:hAnsi="宋体" w:eastAsia="宋体" w:cs="宋体"/>
          <w:b/>
          <w:bCs/>
          <w:i w:val="0"/>
          <w:iCs w:val="0"/>
          <w:color w:val="000000" w:themeColor="text1"/>
          <w:sz w:val="32"/>
          <w:szCs w:val="32"/>
          <w:highlight w:val="none"/>
          <w14:textFill>
            <w14:solidFill>
              <w14:schemeClr w14:val="tx1"/>
            </w14:solidFill>
          </w14:textFill>
        </w:rPr>
      </w:pPr>
      <w:bookmarkStart w:id="7" w:name="_Toc29066"/>
      <w:bookmarkStart w:id="8" w:name="_Toc2756"/>
      <w:r>
        <w:rPr>
          <w:rFonts w:hint="eastAsia" w:ascii="宋体" w:hAnsi="宋体" w:eastAsia="宋体" w:cs="宋体"/>
          <w:b/>
          <w:bCs/>
          <w:i w:val="0"/>
          <w:iCs w:val="0"/>
          <w:color w:val="000000" w:themeColor="text1"/>
          <w:sz w:val="32"/>
          <w:szCs w:val="32"/>
          <w:highlight w:val="none"/>
          <w:lang w:val="en-US" w:eastAsia="zh-CN"/>
          <w14:textFill>
            <w14:solidFill>
              <w14:schemeClr w14:val="tx1"/>
            </w14:solidFill>
          </w14:textFill>
        </w:rPr>
        <w:t>第一章</w:t>
      </w:r>
      <w:r>
        <w:rPr>
          <w:rFonts w:hint="eastAsia" w:ascii="宋体" w:hAnsi="宋体" w:eastAsia="宋体" w:cs="宋体"/>
          <w:b/>
          <w:bCs/>
          <w:i w:val="0"/>
          <w:iCs w:val="0"/>
          <w:color w:val="000000" w:themeColor="text1"/>
          <w:sz w:val="32"/>
          <w:szCs w:val="32"/>
          <w:highlight w:val="none"/>
          <w14:textFill>
            <w14:solidFill>
              <w14:schemeClr w14:val="tx1"/>
            </w14:solidFill>
          </w14:textFill>
        </w:rPr>
        <w:t xml:space="preserve"> </w:t>
      </w:r>
      <w:bookmarkStart w:id="9" w:name="_Toc3412"/>
      <w:r>
        <w:rPr>
          <w:rFonts w:hint="eastAsia" w:ascii="宋体" w:hAnsi="宋体" w:eastAsia="宋体" w:cs="宋体"/>
          <w:b/>
          <w:bCs/>
          <w:i w:val="0"/>
          <w:iCs w:val="0"/>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b/>
          <w:bCs/>
          <w:i w:val="0"/>
          <w:iCs w:val="0"/>
          <w:color w:val="000000" w:themeColor="text1"/>
          <w:sz w:val="32"/>
          <w:szCs w:val="32"/>
          <w:highlight w:val="none"/>
          <w14:textFill>
            <w14:solidFill>
              <w14:schemeClr w14:val="tx1"/>
            </w14:solidFill>
          </w14:textFill>
        </w:rPr>
        <w:t>投标邀请</w:t>
      </w:r>
      <w:bookmarkEnd w:id="7"/>
      <w:bookmarkEnd w:id="8"/>
      <w:bookmarkEnd w:id="9"/>
    </w:p>
    <w:p w14:paraId="775AE89C">
      <w:pPr>
        <w:pageBreakBefore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i w:val="0"/>
          <w:iCs w:val="0"/>
          <w:caps w:val="0"/>
          <w:color w:val="000000" w:themeColor="text1"/>
          <w:spacing w:val="0"/>
          <w:sz w:val="24"/>
          <w:szCs w:val="24"/>
          <w:highlight w:val="none"/>
          <w:shd w:val="clear" w:color="auto"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highlight w:val="none"/>
          <w:shd w:val="clear" w:color="auto" w:fill="FFFFFF"/>
          <w:lang w:val="en-US" w:eastAsia="zh-CN"/>
          <w14:textFill>
            <w14:solidFill>
              <w14:schemeClr w14:val="tx1"/>
            </w14:solidFill>
          </w14:textFill>
        </w:rPr>
        <w:t>一、项目概况</w:t>
      </w:r>
    </w:p>
    <w:p w14:paraId="15B78FD1">
      <w:pPr>
        <w:keepNext/>
        <w:keepLines/>
        <w:pageBreakBefore w:val="0"/>
        <w:widowControl w:val="0"/>
        <w:numPr>
          <w:ilvl w:val="0"/>
          <w:numId w:val="0"/>
        </w:numPr>
        <w:kinsoku w:val="0"/>
        <w:wordWrap w:val="0"/>
        <w:overflowPunct/>
        <w:topLinePunct/>
        <w:autoSpaceDE/>
        <w:autoSpaceDN/>
        <w:bidi w:val="0"/>
        <w:adjustRightInd/>
        <w:snapToGrid/>
        <w:spacing w:line="360" w:lineRule="auto"/>
        <w:ind w:firstLine="480" w:firstLineChars="200"/>
        <w:jc w:val="both"/>
        <w:textAlignment w:val="auto"/>
        <w:outlineLvl w:val="9"/>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上饶市紫阳大道6号楼内部局部改造工程配套办公生活设施采购项目</w:t>
      </w:r>
      <w:r>
        <w:rPr>
          <w:rFonts w:hint="eastAsia" w:ascii="宋体" w:hAnsi="宋体" w:eastAsia="宋体" w:cs="宋体"/>
          <w:b w:val="0"/>
          <w:color w:val="000000" w:themeColor="text1"/>
          <w:sz w:val="24"/>
          <w:szCs w:val="24"/>
          <w:highlight w:val="none"/>
          <w:shd w:val="clear" w:color="auto" w:fill="auto"/>
          <w:lang w:eastAsia="zh-CN"/>
          <w14:textFill>
            <w14:solidFill>
              <w14:schemeClr w14:val="tx1"/>
            </w14:solidFill>
          </w14:textFill>
        </w:rPr>
        <w:t>各</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潜在</w:t>
      </w:r>
      <w:r>
        <w:rPr>
          <w:rFonts w:hint="eastAsia" w:ascii="宋体" w:hAnsi="宋体" w:cs="宋体"/>
          <w:b w:val="0"/>
          <w:color w:val="000000" w:themeColor="text1"/>
          <w:sz w:val="24"/>
          <w:szCs w:val="24"/>
          <w:highlight w:val="none"/>
          <w:shd w:val="clear" w:color="auto" w:fill="auto"/>
          <w:lang w:eastAsia="zh-CN"/>
          <w14:textFill>
            <w14:solidFill>
              <w14:schemeClr w14:val="tx1"/>
            </w14:solidFill>
          </w14:textFill>
        </w:rPr>
        <w:t>投标人</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应在</w:t>
      </w:r>
      <w:r>
        <w:rPr>
          <w:rFonts w:hint="eastAsia" w:ascii="宋体" w:hAnsi="宋体" w:eastAsia="宋体" w:cs="宋体"/>
          <w:b w:val="0"/>
          <w:color w:val="000000" w:themeColor="text1"/>
          <w:sz w:val="24"/>
          <w:szCs w:val="24"/>
          <w:highlight w:val="none"/>
          <w:shd w:val="clear" w:color="auto" w:fill="auto"/>
          <w:lang w:val="en-US" w:eastAsia="zh-CN"/>
          <w14:textFill>
            <w14:solidFill>
              <w14:schemeClr w14:val="tx1"/>
            </w14:solidFill>
          </w14:textFill>
        </w:rPr>
        <w:t>阳光采购服务平台（https://www.ygcgfwpt.com/）</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获取招标文件，并于</w:t>
      </w:r>
      <w:r>
        <w:rPr>
          <w:rFonts w:hint="eastAsia" w:ascii="宋体" w:hAnsi="宋体" w:eastAsia="宋体" w:cs="宋体"/>
          <w:b w:val="0"/>
          <w:color w:val="000000" w:themeColor="text1"/>
          <w:sz w:val="24"/>
          <w:szCs w:val="24"/>
          <w:highlight w:val="none"/>
          <w:u w:val="none"/>
          <w:shd w:val="clear" w:color="auto" w:fill="auto"/>
          <w:lang w:eastAsia="zh-CN"/>
          <w14:textFill>
            <w14:solidFill>
              <w14:schemeClr w14:val="tx1"/>
            </w14:solidFill>
          </w14:textFill>
        </w:rPr>
        <w:t>202</w:t>
      </w:r>
      <w:r>
        <w:rPr>
          <w:rFonts w:hint="eastAsia" w:ascii="宋体" w:hAnsi="宋体" w:cs="宋体"/>
          <w:b w:val="0"/>
          <w:color w:val="000000" w:themeColor="text1"/>
          <w:sz w:val="24"/>
          <w:szCs w:val="24"/>
          <w:highlight w:val="none"/>
          <w:u w:val="none"/>
          <w:shd w:val="clear" w:color="auto" w:fill="auto"/>
          <w:lang w:val="en-US" w:eastAsia="zh-CN"/>
          <w14:textFill>
            <w14:solidFill>
              <w14:schemeClr w14:val="tx1"/>
            </w14:solidFill>
          </w14:textFill>
        </w:rPr>
        <w:t>5</w:t>
      </w:r>
      <w:r>
        <w:rPr>
          <w:rFonts w:hint="eastAsia" w:ascii="宋体" w:hAnsi="宋体" w:eastAsia="宋体" w:cs="宋体"/>
          <w:b w:val="0"/>
          <w:color w:val="000000" w:themeColor="text1"/>
          <w:sz w:val="24"/>
          <w:szCs w:val="24"/>
          <w:highlight w:val="none"/>
          <w:u w:val="none"/>
          <w:shd w:val="clear" w:color="auto" w:fill="auto"/>
          <w:lang w:eastAsia="zh-CN"/>
          <w14:textFill>
            <w14:solidFill>
              <w14:schemeClr w14:val="tx1"/>
            </w14:solidFill>
          </w14:textFill>
        </w:rPr>
        <w:t>年</w:t>
      </w:r>
      <w:r>
        <w:rPr>
          <w:rFonts w:hint="eastAsia" w:ascii="宋体" w:hAnsi="宋体" w:cs="宋体"/>
          <w:color w:val="000000"/>
          <w:kern w:val="0"/>
          <w:sz w:val="24"/>
          <w:lang w:val="en-US" w:eastAsia="zh-CN"/>
        </w:rPr>
        <w:t>12</w:t>
      </w:r>
      <w:r>
        <w:rPr>
          <w:rFonts w:hint="eastAsia" w:ascii="宋体" w:hAnsi="宋体" w:eastAsia="宋体" w:cs="宋体"/>
          <w:color w:val="000000"/>
          <w:kern w:val="0"/>
          <w:sz w:val="24"/>
        </w:rPr>
        <w:t>月</w:t>
      </w:r>
      <w:r>
        <w:rPr>
          <w:rFonts w:hint="eastAsia" w:ascii="宋体" w:hAnsi="宋体" w:cs="宋体"/>
          <w:color w:val="000000"/>
          <w:kern w:val="0"/>
          <w:sz w:val="24"/>
          <w:lang w:val="en-US" w:eastAsia="zh-CN"/>
        </w:rPr>
        <w:t>12</w:t>
      </w:r>
      <w:r>
        <w:rPr>
          <w:rFonts w:hint="eastAsia" w:ascii="宋体" w:hAnsi="宋体" w:eastAsia="宋体" w:cs="宋体"/>
          <w:color w:val="000000"/>
          <w:kern w:val="0"/>
          <w:sz w:val="24"/>
        </w:rPr>
        <w:t>日</w:t>
      </w:r>
      <w:r>
        <w:rPr>
          <w:rFonts w:hint="eastAsia" w:ascii="宋体" w:hAnsi="宋体" w:eastAsia="宋体" w:cs="宋体"/>
          <w:color w:val="000000"/>
          <w:kern w:val="0"/>
          <w:sz w:val="24"/>
          <w:lang w:val="en-US" w:eastAsia="zh-CN"/>
        </w:rPr>
        <w:t xml:space="preserve"> 09 </w:t>
      </w:r>
      <w:r>
        <w:rPr>
          <w:rFonts w:hint="eastAsia" w:ascii="宋体" w:hAnsi="宋体" w:eastAsia="宋体" w:cs="宋体"/>
          <w:color w:val="000000"/>
          <w:kern w:val="0"/>
          <w:sz w:val="24"/>
        </w:rPr>
        <w:t>时</w:t>
      </w:r>
      <w:r>
        <w:rPr>
          <w:rFonts w:hint="eastAsia" w:ascii="宋体" w:hAnsi="宋体" w:eastAsia="宋体" w:cs="宋体"/>
          <w:color w:val="000000"/>
          <w:kern w:val="0"/>
          <w:sz w:val="24"/>
          <w:lang w:val="en-US" w:eastAsia="zh-CN"/>
        </w:rPr>
        <w:t xml:space="preserve"> </w:t>
      </w:r>
      <w:r>
        <w:rPr>
          <w:rFonts w:hint="eastAsia" w:ascii="宋体" w:hAnsi="宋体" w:cs="宋体"/>
          <w:color w:val="000000"/>
          <w:kern w:val="0"/>
          <w:sz w:val="24"/>
          <w:lang w:val="en-US" w:eastAsia="zh-CN"/>
        </w:rPr>
        <w:t>00</w:t>
      </w:r>
      <w:r>
        <w:rPr>
          <w:rFonts w:hint="eastAsia" w:ascii="宋体" w:hAnsi="宋体" w:eastAsia="宋体" w:cs="宋体"/>
          <w:color w:val="000000"/>
          <w:kern w:val="0"/>
          <w:sz w:val="24"/>
          <w:lang w:val="en-US" w:eastAsia="zh-CN"/>
        </w:rPr>
        <w:t xml:space="preserve"> </w:t>
      </w:r>
      <w:r>
        <w:rPr>
          <w:rFonts w:hint="eastAsia" w:ascii="宋体" w:hAnsi="宋体" w:eastAsia="宋体" w:cs="宋体"/>
          <w:color w:val="000000"/>
          <w:kern w:val="0"/>
          <w:sz w:val="24"/>
        </w:rPr>
        <w:t>分</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（北京时间）前递交投标文件。</w:t>
      </w:r>
    </w:p>
    <w:p w14:paraId="0EDD7D2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482" w:firstLineChars="200"/>
        <w:jc w:val="both"/>
        <w:textAlignment w:val="auto"/>
        <w:outlineLvl w:val="9"/>
        <w:rPr>
          <w:rFonts w:hint="eastAsia" w:ascii="宋体" w:hAnsi="宋体" w:eastAsia="宋体" w:cs="宋体"/>
          <w:b/>
          <w:bCs/>
          <w:i w:val="0"/>
          <w:iCs w:val="0"/>
          <w:caps w:val="0"/>
          <w:color w:val="000000" w:themeColor="text1"/>
          <w:spacing w:val="0"/>
          <w:sz w:val="24"/>
          <w:szCs w:val="24"/>
          <w:highlight w:val="none"/>
          <w:shd w:val="clear" w:color="auto"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highlight w:val="none"/>
          <w:shd w:val="clear" w:color="auto" w:fill="FFFFFF"/>
          <w:lang w:val="en-US" w:eastAsia="zh-CN"/>
          <w14:textFill>
            <w14:solidFill>
              <w14:schemeClr w14:val="tx1"/>
            </w14:solidFill>
          </w14:textFill>
        </w:rPr>
        <w:t>二、</w:t>
      </w:r>
      <w:r>
        <w:rPr>
          <w:rFonts w:hint="eastAsia" w:ascii="宋体" w:hAnsi="宋体" w:eastAsia="宋体" w:cs="宋体"/>
          <w:b/>
          <w:bCs/>
          <w:i w:val="0"/>
          <w:iCs w:val="0"/>
          <w:caps w:val="0"/>
          <w:color w:val="000000" w:themeColor="text1"/>
          <w:spacing w:val="0"/>
          <w:sz w:val="24"/>
          <w:szCs w:val="24"/>
          <w:highlight w:val="none"/>
          <w:shd w:val="clear" w:color="auto" w:fill="FFFFFF"/>
          <w14:textFill>
            <w14:solidFill>
              <w14:schemeClr w14:val="tx1"/>
            </w14:solidFill>
          </w14:textFill>
        </w:rPr>
        <w:t>项目</w:t>
      </w:r>
      <w:r>
        <w:rPr>
          <w:rFonts w:hint="eastAsia" w:ascii="宋体" w:hAnsi="宋体" w:eastAsia="宋体" w:cs="宋体"/>
          <w:b/>
          <w:bCs/>
          <w:i w:val="0"/>
          <w:iCs w:val="0"/>
          <w:caps w:val="0"/>
          <w:color w:val="000000" w:themeColor="text1"/>
          <w:spacing w:val="0"/>
          <w:sz w:val="24"/>
          <w:szCs w:val="24"/>
          <w:highlight w:val="none"/>
          <w:shd w:val="clear" w:color="auto" w:fill="FFFFFF"/>
          <w:lang w:val="en-US" w:eastAsia="zh-CN"/>
          <w14:textFill>
            <w14:solidFill>
              <w14:schemeClr w14:val="tx1"/>
            </w14:solidFill>
          </w14:textFill>
        </w:rPr>
        <w:t>基本情况</w:t>
      </w:r>
    </w:p>
    <w:p w14:paraId="437F990A">
      <w:pPr>
        <w:adjustRightInd w:val="0"/>
        <w:snapToGrid w:val="0"/>
        <w:spacing w:line="360" w:lineRule="auto"/>
        <w:ind w:firstLine="720" w:firstLineChars="300"/>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项目名称：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上饶市紫阳大道6号楼内部局部改造工程配套办公生活设施采购项目</w:t>
      </w:r>
    </w:p>
    <w:p w14:paraId="1EB5A890">
      <w:pPr>
        <w:adjustRightInd w:val="0"/>
        <w:snapToGrid w:val="0"/>
        <w:spacing w:line="360" w:lineRule="auto"/>
        <w:ind w:firstLine="720" w:firstLineChars="300"/>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2.项目编号：SRCK-JG-HW-2025-001</w:t>
      </w:r>
    </w:p>
    <w:p w14:paraId="2405AB41">
      <w:pPr>
        <w:adjustRightInd w:val="0"/>
        <w:snapToGrid w:val="0"/>
        <w:spacing w:line="360" w:lineRule="auto"/>
        <w:ind w:firstLine="720" w:firstLineChars="300"/>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3.项目类别：</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货物</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类</w:t>
      </w:r>
    </w:p>
    <w:p w14:paraId="38A4BBB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720" w:firstLineChars="300"/>
        <w:jc w:val="both"/>
        <w:textAlignment w:val="auto"/>
        <w:outlineLvl w:val="9"/>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采购方式：公开招标</w:t>
      </w:r>
    </w:p>
    <w:p w14:paraId="48150CE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720" w:firstLineChars="300"/>
        <w:jc w:val="both"/>
        <w:textAlignment w:val="auto"/>
        <w:outlineLvl w:val="9"/>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.预算金额：106997</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8元</w:t>
      </w:r>
    </w:p>
    <w:p w14:paraId="1B2C25B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720" w:firstLineChars="300"/>
        <w:jc w:val="both"/>
        <w:textAlignment w:val="auto"/>
        <w:outlineLvl w:val="9"/>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服务地点：</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招标人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指定地点</w:t>
      </w:r>
    </w:p>
    <w:p w14:paraId="0062D5F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720" w:firstLineChars="300"/>
        <w:jc w:val="both"/>
        <w:textAlignment w:val="auto"/>
        <w:outlineLvl w:val="9"/>
        <w:rPr>
          <w:rFonts w:hint="default"/>
          <w:highlight w:val="none"/>
          <w:lang w:val="en-US" w:eastAsia="zh-CN"/>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7.采购</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需求</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：详见招标文件</w:t>
      </w:r>
    </w:p>
    <w:p w14:paraId="5E916FE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480" w:firstLineChars="200"/>
        <w:jc w:val="both"/>
        <w:textAlignment w:val="auto"/>
        <w:outlineLvl w:val="9"/>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注：本项目所有投标均以人民币报价，包含招标文件规定的货物及附属售后服务、标准附件、备品备件、专用工具、安装调试、检验、培训、技术服务、运至最终目的地的运费、保险费、税金、人工费等完成本项目所需的一切相关费用。</w:t>
      </w:r>
    </w:p>
    <w:p w14:paraId="5936B594">
      <w:pPr>
        <w:keepNext w:val="0"/>
        <w:keepLines w:val="0"/>
        <w:pageBreakBefore w:val="0"/>
        <w:widowControl/>
        <w:kinsoku/>
        <w:wordWrap/>
        <w:overflowPunct/>
        <w:topLinePunct w:val="0"/>
        <w:autoSpaceDE/>
        <w:autoSpaceDN/>
        <w:bidi w:val="0"/>
        <w:adjustRightInd/>
        <w:snapToGrid/>
        <w:spacing w:line="360" w:lineRule="auto"/>
        <w:ind w:right="-105" w:rightChars="-50" w:firstLine="482" w:firstLineChars="200"/>
        <w:jc w:val="both"/>
        <w:textAlignment w:val="auto"/>
        <w:outlineLvl w:val="9"/>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三、</w:t>
      </w:r>
      <w:r>
        <w:rPr>
          <w:rFonts w:hint="eastAsia" w:ascii="宋体" w:hAnsi="宋体" w:cs="宋体"/>
          <w:b/>
          <w:bCs/>
          <w:color w:val="000000" w:themeColor="text1"/>
          <w:kern w:val="2"/>
          <w:sz w:val="24"/>
          <w:szCs w:val="24"/>
          <w:highlight w:val="none"/>
          <w:lang w:val="en-US" w:eastAsia="zh-CN" w:bidi="ar-SA"/>
          <w14:textFill>
            <w14:solidFill>
              <w14:schemeClr w14:val="tx1"/>
            </w14:solidFill>
          </w14:textFill>
        </w:rPr>
        <w:t>投标人</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的资格要求</w:t>
      </w:r>
    </w:p>
    <w:p w14:paraId="7E24FE2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1.具有独立承担民事责任的能力；【提供法人或者其他组织的营业执照；法人授权委托书及委托代理人身份证（法定代表人参加则需提供法定代表人身份证明书及法定代表人身份证）；自然人投标提供身份证明】</w:t>
      </w:r>
    </w:p>
    <w:p w14:paraId="21A751FD">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2.具有良好的商业信誉和健全的财务会计制度；【提供下列材料之一：①提供近3年任意一年的年度财务审计报告；②提交投标截止时间前6个月内由投标人基本账户开户银行出具的银行资信证明（附开户许可证或基本存款账户信息）】</w:t>
      </w:r>
    </w:p>
    <w:p w14:paraId="14A7C10B">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3.具有履行合同所必需的设备和专业技术能力；【提供承诺函，格式自拟】</w:t>
      </w:r>
    </w:p>
    <w:p w14:paraId="40C4B32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4.有依法缴纳税收和社会保障资金的良好记录；【提交投标截止时间前6个月内</w:t>
      </w:r>
      <w:r>
        <w:rPr>
          <w:rFonts w:hint="eastAsia"/>
          <w:b/>
          <w:bCs/>
          <w:color w:val="auto"/>
          <w:highlight w:val="none"/>
          <w:lang w:val="en-US" w:bidi="ar-SA"/>
        </w:rPr>
        <w:t>（不含开标当月）</w:t>
      </w:r>
      <w:r>
        <w:rPr>
          <w:rFonts w:hint="eastAsia"/>
          <w:color w:val="auto"/>
          <w:highlight w:val="none"/>
          <w:lang w:val="en-US" w:bidi="ar-SA"/>
        </w:rPr>
        <w:t>任意一个月的依法缴纳税收及社保的证明】</w:t>
      </w:r>
    </w:p>
    <w:p w14:paraId="05D2D68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5.参加招标活动前三年内，在经营活动中没有重大违法记录；【提供承诺函，格式自拟】</w:t>
      </w:r>
    </w:p>
    <w:p w14:paraId="48CED4D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6.法律、行政法规规定的其他条件：①通过信用中国网站和中国政府采购网查询相关主体信用记录，被列入失信被执行人、重大税收违法失信主体、政府采购严重违法失信行为记录名单的投标人（处罚期限尚未届满的），不得参与本项目的采购活动；（告知项，无需提供证明材料）</w:t>
      </w:r>
    </w:p>
    <w:p w14:paraId="09E02CFB">
      <w:pPr>
        <w:pStyle w:val="7"/>
        <w:spacing w:line="360" w:lineRule="auto"/>
        <w:ind w:firstLine="480" w:firstLineChars="200"/>
        <w:rPr>
          <w:rFonts w:hint="eastAsia"/>
          <w:color w:val="auto"/>
          <w:highlight w:val="none"/>
          <w:lang w:val="en-US" w:bidi="ar-SA"/>
        </w:rPr>
      </w:pPr>
      <w:r>
        <w:rPr>
          <w:rFonts w:hint="eastAsia"/>
          <w:color w:val="auto"/>
          <w:highlight w:val="none"/>
          <w:lang w:val="en-US" w:bidi="ar-SA"/>
        </w:rPr>
        <w:t>②单位负责人为同一人或者存在直接控股、管理关系的不同投标人，不得参加同一合同项下的采购活动；（告知项，无需提供证明材料）</w:t>
      </w:r>
    </w:p>
    <w:p w14:paraId="76858FAF">
      <w:pPr>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eastAsia" w:ascii="宋体" w:hAnsi="宋体" w:cs="宋体"/>
          <w:color w:val="auto"/>
          <w:sz w:val="24"/>
          <w:szCs w:val="24"/>
          <w:highlight w:val="none"/>
          <w:lang w:val="en-US" w:eastAsia="zh-CN"/>
        </w:rPr>
        <w:t>7.</w:t>
      </w:r>
      <w:r>
        <w:rPr>
          <w:rFonts w:ascii="宋体" w:hAnsi="宋体" w:cs="宋体"/>
          <w:color w:val="auto"/>
          <w:sz w:val="24"/>
          <w:szCs w:val="24"/>
          <w:highlight w:val="none"/>
        </w:rPr>
        <w:t>本项目不接受联合体投标，且不允许转包、分包。【提供承诺函，格式自拟】</w:t>
      </w:r>
    </w:p>
    <w:p w14:paraId="4E465FBB">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default"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本项目的特定资格要求：</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2BBD767A">
      <w:pPr>
        <w:pStyle w:val="7"/>
        <w:keepNext w:val="0"/>
        <w:keepLines w:val="0"/>
        <w:pageBreakBefore w:val="0"/>
        <w:numPr>
          <w:ilvl w:val="0"/>
          <w:numId w:val="0"/>
        </w:numPr>
        <w:kinsoku/>
        <w:overflowPunct/>
        <w:topLinePunct w:val="0"/>
        <w:autoSpaceDE/>
        <w:autoSpaceDN/>
        <w:bidi w:val="0"/>
        <w:spacing w:line="360" w:lineRule="auto"/>
        <w:ind w:firstLine="482" w:firstLineChars="200"/>
        <w:textAlignment w:val="auto"/>
        <w:outlineLvl w:val="9"/>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注：以上资格要求除告知项外，投标文件中提供复印件加盖公章，法人授权书及代理人身份证须提供原件（法人授权书原件允许装订入投标文件中），并对其真实性负责。</w:t>
      </w:r>
    </w:p>
    <w:p w14:paraId="0D1376DA">
      <w:pPr>
        <w:pStyle w:val="7"/>
        <w:keepNext w:val="0"/>
        <w:keepLines w:val="0"/>
        <w:pageBreakBefore w:val="0"/>
        <w:numPr>
          <w:ilvl w:val="0"/>
          <w:numId w:val="0"/>
        </w:numPr>
        <w:kinsoku/>
        <w:overflowPunct/>
        <w:topLinePunct w:val="0"/>
        <w:autoSpaceDE/>
        <w:autoSpaceDN/>
        <w:bidi w:val="0"/>
        <w:spacing w:line="360" w:lineRule="auto"/>
        <w:ind w:firstLine="482" w:firstLineChars="200"/>
        <w:textAlignment w:val="auto"/>
        <w:outlineLvl w:val="9"/>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四、招标文件领取</w:t>
      </w:r>
    </w:p>
    <w:p w14:paraId="099821A2">
      <w:pPr>
        <w:pStyle w:val="7"/>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招标文件领取方式：</w:t>
      </w:r>
      <w:r>
        <w:rPr>
          <w:rFonts w:hint="eastAsia" w:ascii="宋体" w:hAnsi="宋体" w:eastAsia="宋体" w:cs="宋体"/>
          <w:color w:val="000000" w:themeColor="text1"/>
          <w:kern w:val="0"/>
          <w:highlight w:val="none"/>
          <w:lang w:val="en-US"/>
          <w14:textFill>
            <w14:solidFill>
              <w14:schemeClr w14:val="tx1"/>
            </w14:solidFill>
          </w14:textFill>
        </w:rPr>
        <w:t>线上（登录阳光采购服务平台投标人系统网上下载）</w:t>
      </w:r>
    </w:p>
    <w:p w14:paraId="34AC771A">
      <w:pPr>
        <w:pStyle w:val="7"/>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招标文件领取截止时间：202</w:t>
      </w:r>
      <w:r>
        <w:rPr>
          <w:rFonts w:hint="eastAsia"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年</w:t>
      </w:r>
      <w:r>
        <w:rPr>
          <w:rFonts w:hint="eastAsia" w:cs="宋体"/>
          <w:color w:val="000000" w:themeColor="text1"/>
          <w:kern w:val="0"/>
          <w:sz w:val="24"/>
          <w:szCs w:val="24"/>
          <w:highlight w:val="none"/>
          <w:u w:val="single"/>
          <w:lang w:val="en-US" w:eastAsia="zh-CN"/>
          <w14:textFill>
            <w14:solidFill>
              <w14:schemeClr w14:val="tx1"/>
            </w14:solidFill>
          </w14:textFill>
        </w:rPr>
        <w:t>12</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月</w:t>
      </w:r>
      <w:r>
        <w:rPr>
          <w:rFonts w:hint="eastAsia" w:cs="宋体"/>
          <w:color w:val="000000" w:themeColor="text1"/>
          <w:kern w:val="0"/>
          <w:sz w:val="24"/>
          <w:szCs w:val="24"/>
          <w:highlight w:val="none"/>
          <w:u w:val="single"/>
          <w:lang w:val="en-US" w:eastAsia="zh-CN"/>
          <w14:textFill>
            <w14:solidFill>
              <w14:schemeClr w14:val="tx1"/>
            </w14:solidFill>
          </w14:textFill>
        </w:rPr>
        <w:t>11</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日（北京时间）</w:t>
      </w:r>
    </w:p>
    <w:p w14:paraId="234AFEE5">
      <w:pPr>
        <w:pStyle w:val="7"/>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招标文件领取地点：阳光采购平台（https://www.ygcgfwpt.com/）</w:t>
      </w:r>
    </w:p>
    <w:p w14:paraId="1EB85E4E">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jc w:val="left"/>
        <w:textAlignment w:val="auto"/>
        <w:outlineLvl w:val="9"/>
        <w:rPr>
          <w:rFonts w:hint="eastAsia" w:ascii="宋体" w:hAnsi="宋体" w:eastAsia="宋体" w:cs="宋体"/>
          <w:b/>
          <w:bCs/>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bidi="ar-SA"/>
          <w14:textFill>
            <w14:solidFill>
              <w14:schemeClr w14:val="tx1"/>
            </w14:solidFill>
          </w14:textFill>
        </w:rPr>
        <w:t>五、响应文件提交</w:t>
      </w:r>
    </w:p>
    <w:p w14:paraId="2FC37CF8">
      <w:pPr>
        <w:pStyle w:val="7"/>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递交方式：线下递交纸质文件</w:t>
      </w:r>
    </w:p>
    <w:p w14:paraId="2F04DC83">
      <w:pPr>
        <w:pStyle w:val="7"/>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递交截止时间：</w:t>
      </w:r>
      <w:r>
        <w:rPr>
          <w:rFonts w:hint="eastAsia" w:ascii="宋体" w:hAnsi="宋体" w:eastAsia="宋体" w:cs="宋体"/>
          <w:b w:val="0"/>
          <w:color w:val="000000" w:themeColor="text1"/>
          <w:sz w:val="24"/>
          <w:szCs w:val="24"/>
          <w:highlight w:val="none"/>
          <w:u w:val="none"/>
          <w:shd w:val="clear" w:color="auto" w:fill="auto"/>
          <w:lang w:eastAsia="zh-CN"/>
          <w14:textFill>
            <w14:solidFill>
              <w14:schemeClr w14:val="tx1"/>
            </w14:solidFill>
          </w14:textFill>
        </w:rPr>
        <w:t>202</w:t>
      </w:r>
      <w:r>
        <w:rPr>
          <w:rFonts w:hint="eastAsia" w:cs="宋体"/>
          <w:b w:val="0"/>
          <w:color w:val="000000" w:themeColor="text1"/>
          <w:sz w:val="24"/>
          <w:szCs w:val="24"/>
          <w:highlight w:val="none"/>
          <w:u w:val="none"/>
          <w:shd w:val="clear" w:color="auto" w:fill="auto"/>
          <w:lang w:val="en-US" w:eastAsia="zh-CN"/>
          <w14:textFill>
            <w14:solidFill>
              <w14:schemeClr w14:val="tx1"/>
            </w14:solidFill>
          </w14:textFill>
        </w:rPr>
        <w:t>5</w:t>
      </w:r>
      <w:r>
        <w:rPr>
          <w:rFonts w:hint="eastAsia" w:ascii="宋体" w:hAnsi="宋体" w:eastAsia="宋体" w:cs="宋体"/>
          <w:b w:val="0"/>
          <w:color w:val="000000" w:themeColor="text1"/>
          <w:sz w:val="24"/>
          <w:szCs w:val="24"/>
          <w:highlight w:val="none"/>
          <w:u w:val="none"/>
          <w:shd w:val="clear" w:color="auto" w:fill="auto"/>
          <w:lang w:eastAsia="zh-CN"/>
          <w14:textFill>
            <w14:solidFill>
              <w14:schemeClr w14:val="tx1"/>
            </w14:solidFill>
          </w14:textFill>
        </w:rPr>
        <w:t>年</w:t>
      </w:r>
      <w:r>
        <w:rPr>
          <w:rFonts w:hint="eastAsia" w:ascii="宋体" w:hAnsi="宋体" w:cs="宋体"/>
          <w:color w:val="000000"/>
          <w:kern w:val="0"/>
          <w:sz w:val="24"/>
          <w:lang w:val="en-US" w:eastAsia="zh-CN"/>
        </w:rPr>
        <w:t>12</w:t>
      </w:r>
      <w:r>
        <w:rPr>
          <w:rFonts w:hint="eastAsia" w:ascii="宋体" w:hAnsi="宋体" w:eastAsia="宋体" w:cs="宋体"/>
          <w:color w:val="000000"/>
          <w:kern w:val="0"/>
          <w:sz w:val="24"/>
        </w:rPr>
        <w:t>月</w:t>
      </w:r>
      <w:r>
        <w:rPr>
          <w:rFonts w:hint="eastAsia" w:ascii="宋体" w:hAnsi="宋体" w:cs="宋体"/>
          <w:color w:val="000000"/>
          <w:kern w:val="0"/>
          <w:sz w:val="24"/>
          <w:lang w:val="en-US" w:eastAsia="zh-CN"/>
        </w:rPr>
        <w:t>12</w:t>
      </w:r>
      <w:r>
        <w:rPr>
          <w:rFonts w:hint="eastAsia" w:ascii="宋体" w:hAnsi="宋体" w:eastAsia="宋体" w:cs="宋体"/>
          <w:color w:val="000000"/>
          <w:kern w:val="0"/>
          <w:sz w:val="24"/>
        </w:rPr>
        <w:t>日</w:t>
      </w:r>
      <w:r>
        <w:rPr>
          <w:rFonts w:hint="eastAsia" w:ascii="宋体" w:hAnsi="宋体" w:eastAsia="宋体" w:cs="宋体"/>
          <w:color w:val="000000"/>
          <w:kern w:val="0"/>
          <w:sz w:val="24"/>
          <w:lang w:val="en-US" w:eastAsia="zh-CN"/>
        </w:rPr>
        <w:t xml:space="preserve"> 09 </w:t>
      </w:r>
      <w:r>
        <w:rPr>
          <w:rFonts w:hint="eastAsia" w:ascii="宋体" w:hAnsi="宋体" w:eastAsia="宋体" w:cs="宋体"/>
          <w:color w:val="000000"/>
          <w:kern w:val="0"/>
          <w:sz w:val="24"/>
        </w:rPr>
        <w:t>时</w:t>
      </w:r>
      <w:r>
        <w:rPr>
          <w:rFonts w:hint="eastAsia" w:ascii="宋体" w:hAnsi="宋体" w:eastAsia="宋体" w:cs="宋体"/>
          <w:color w:val="000000"/>
          <w:kern w:val="0"/>
          <w:sz w:val="24"/>
          <w:lang w:val="en-US" w:eastAsia="zh-CN"/>
        </w:rPr>
        <w:t xml:space="preserve"> </w:t>
      </w:r>
      <w:r>
        <w:rPr>
          <w:rFonts w:hint="eastAsia" w:ascii="宋体" w:hAnsi="宋体" w:cs="宋体"/>
          <w:color w:val="000000"/>
          <w:kern w:val="0"/>
          <w:sz w:val="24"/>
          <w:lang w:val="en-US" w:eastAsia="zh-CN"/>
        </w:rPr>
        <w:t>00</w:t>
      </w:r>
      <w:r>
        <w:rPr>
          <w:rFonts w:hint="eastAsia" w:ascii="宋体" w:hAnsi="宋体" w:eastAsia="宋体" w:cs="宋体"/>
          <w:color w:val="000000"/>
          <w:kern w:val="0"/>
          <w:sz w:val="24"/>
          <w:lang w:val="en-US" w:eastAsia="zh-CN"/>
        </w:rPr>
        <w:t xml:space="preserve"> </w:t>
      </w:r>
      <w:r>
        <w:rPr>
          <w:rFonts w:hint="eastAsia" w:ascii="宋体" w:hAnsi="宋体" w:eastAsia="宋体" w:cs="宋体"/>
          <w:color w:val="000000"/>
          <w:kern w:val="0"/>
          <w:sz w:val="24"/>
        </w:rPr>
        <w:t>分</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（北京时间）</w:t>
      </w:r>
    </w:p>
    <w:p w14:paraId="24D94072">
      <w:pPr>
        <w:pStyle w:val="7"/>
        <w:spacing w:line="360" w:lineRule="auto"/>
        <w:ind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递交地点：</w:t>
      </w:r>
      <w:r>
        <w:rPr>
          <w:rFonts w:hint="eastAsia" w:ascii="宋体" w:hAnsi="宋体" w:eastAsia="宋体" w:cs="宋体"/>
          <w:color w:val="000000" w:themeColor="text1"/>
          <w:kern w:val="0"/>
          <w:highlight w:val="none"/>
          <w:lang w:val="en-US" w:eastAsia="zh-CN"/>
          <w14:textFill>
            <w14:solidFill>
              <w14:schemeClr w14:val="tx1"/>
            </w14:solidFill>
          </w14:textFill>
        </w:rPr>
        <w:t>上饶市信州区锦绣路2号广信大厦A栋3楼</w:t>
      </w:r>
    </w:p>
    <w:p w14:paraId="3C730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Style w:val="22"/>
          <w:rFonts w:hint="eastAsia" w:ascii="宋体" w:hAnsi="宋体" w:eastAsia="宋体" w:cs="宋体"/>
          <w:b/>
          <w:bCs/>
          <w:i w:val="0"/>
          <w:iCs w:val="0"/>
          <w:caps w:val="0"/>
          <w:color w:val="000000" w:themeColor="text1"/>
          <w:spacing w:val="0"/>
          <w:sz w:val="24"/>
          <w:szCs w:val="24"/>
          <w:highlight w:val="none"/>
          <w:shd w:val="clear" w:color="auto" w:fill="FFFFFF"/>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14:textFill>
            <w14:solidFill>
              <w14:schemeClr w14:val="tx1"/>
            </w14:solidFill>
          </w14:textFill>
        </w:rPr>
        <w:t>、</w:t>
      </w:r>
      <w:r>
        <w:rPr>
          <w:rStyle w:val="22"/>
          <w:rFonts w:hint="eastAsia" w:ascii="宋体" w:hAnsi="宋体" w:eastAsia="宋体" w:cs="宋体"/>
          <w:b/>
          <w:bCs/>
          <w:i w:val="0"/>
          <w:iCs w:val="0"/>
          <w:caps w:val="0"/>
          <w:color w:val="000000" w:themeColor="text1"/>
          <w:spacing w:val="0"/>
          <w:sz w:val="24"/>
          <w:szCs w:val="24"/>
          <w:highlight w:val="none"/>
          <w:shd w:val="clear" w:color="auto" w:fill="FFFFFF"/>
          <w14:textFill>
            <w14:solidFill>
              <w14:schemeClr w14:val="tx1"/>
            </w14:solidFill>
          </w14:textFill>
        </w:rPr>
        <w:t>开标时间和地点</w:t>
      </w:r>
    </w:p>
    <w:p w14:paraId="1213E89C">
      <w:pPr>
        <w:pStyle w:val="7"/>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开标时间：</w:t>
      </w:r>
      <w:r>
        <w:rPr>
          <w:rFonts w:hint="eastAsia" w:ascii="宋体" w:hAnsi="宋体" w:eastAsia="宋体" w:cs="宋体"/>
          <w:b w:val="0"/>
          <w:color w:val="000000" w:themeColor="text1"/>
          <w:sz w:val="24"/>
          <w:szCs w:val="24"/>
          <w:highlight w:val="none"/>
          <w:u w:val="none"/>
          <w:shd w:val="clear" w:color="auto" w:fill="auto"/>
          <w:lang w:eastAsia="zh-CN"/>
          <w14:textFill>
            <w14:solidFill>
              <w14:schemeClr w14:val="tx1"/>
            </w14:solidFill>
          </w14:textFill>
        </w:rPr>
        <w:t>202</w:t>
      </w:r>
      <w:r>
        <w:rPr>
          <w:rFonts w:hint="eastAsia" w:cs="宋体"/>
          <w:b w:val="0"/>
          <w:color w:val="000000" w:themeColor="text1"/>
          <w:sz w:val="24"/>
          <w:szCs w:val="24"/>
          <w:highlight w:val="none"/>
          <w:u w:val="none"/>
          <w:shd w:val="clear" w:color="auto" w:fill="auto"/>
          <w:lang w:val="en-US" w:eastAsia="zh-CN"/>
          <w14:textFill>
            <w14:solidFill>
              <w14:schemeClr w14:val="tx1"/>
            </w14:solidFill>
          </w14:textFill>
        </w:rPr>
        <w:t>5</w:t>
      </w:r>
      <w:r>
        <w:rPr>
          <w:rFonts w:hint="eastAsia" w:ascii="宋体" w:hAnsi="宋体" w:eastAsia="宋体" w:cs="宋体"/>
          <w:b w:val="0"/>
          <w:color w:val="000000" w:themeColor="text1"/>
          <w:sz w:val="24"/>
          <w:szCs w:val="24"/>
          <w:highlight w:val="none"/>
          <w:u w:val="none"/>
          <w:shd w:val="clear" w:color="auto" w:fill="auto"/>
          <w:lang w:eastAsia="zh-CN"/>
          <w14:textFill>
            <w14:solidFill>
              <w14:schemeClr w14:val="tx1"/>
            </w14:solidFill>
          </w14:textFill>
        </w:rPr>
        <w:t>年</w:t>
      </w:r>
      <w:r>
        <w:rPr>
          <w:rFonts w:hint="eastAsia" w:ascii="宋体" w:hAnsi="宋体" w:cs="宋体"/>
          <w:color w:val="000000"/>
          <w:kern w:val="0"/>
          <w:sz w:val="24"/>
          <w:lang w:val="en-US" w:eastAsia="zh-CN"/>
        </w:rPr>
        <w:t>12</w:t>
      </w:r>
      <w:r>
        <w:rPr>
          <w:rFonts w:hint="eastAsia" w:ascii="宋体" w:hAnsi="宋体" w:eastAsia="宋体" w:cs="宋体"/>
          <w:color w:val="000000"/>
          <w:kern w:val="0"/>
          <w:sz w:val="24"/>
        </w:rPr>
        <w:t>月</w:t>
      </w:r>
      <w:r>
        <w:rPr>
          <w:rFonts w:hint="eastAsia" w:ascii="宋体" w:hAnsi="宋体" w:cs="宋体"/>
          <w:color w:val="000000"/>
          <w:kern w:val="0"/>
          <w:sz w:val="24"/>
          <w:lang w:val="en-US" w:eastAsia="zh-CN"/>
        </w:rPr>
        <w:t>12</w:t>
      </w:r>
      <w:r>
        <w:rPr>
          <w:rFonts w:hint="eastAsia" w:ascii="宋体" w:hAnsi="宋体" w:eastAsia="宋体" w:cs="宋体"/>
          <w:color w:val="000000"/>
          <w:kern w:val="0"/>
          <w:sz w:val="24"/>
        </w:rPr>
        <w:t>日</w:t>
      </w:r>
      <w:r>
        <w:rPr>
          <w:rFonts w:hint="eastAsia" w:ascii="宋体" w:hAnsi="宋体" w:eastAsia="宋体" w:cs="宋体"/>
          <w:color w:val="000000"/>
          <w:kern w:val="0"/>
          <w:sz w:val="24"/>
          <w:lang w:val="en-US" w:eastAsia="zh-CN"/>
        </w:rPr>
        <w:t xml:space="preserve"> 09 </w:t>
      </w:r>
      <w:r>
        <w:rPr>
          <w:rFonts w:hint="eastAsia" w:ascii="宋体" w:hAnsi="宋体" w:eastAsia="宋体" w:cs="宋体"/>
          <w:color w:val="000000"/>
          <w:kern w:val="0"/>
          <w:sz w:val="24"/>
        </w:rPr>
        <w:t>时</w:t>
      </w:r>
      <w:r>
        <w:rPr>
          <w:rFonts w:hint="eastAsia" w:ascii="宋体" w:hAnsi="宋体" w:eastAsia="宋体" w:cs="宋体"/>
          <w:color w:val="000000"/>
          <w:kern w:val="0"/>
          <w:sz w:val="24"/>
          <w:lang w:val="en-US" w:eastAsia="zh-CN"/>
        </w:rPr>
        <w:t xml:space="preserve"> </w:t>
      </w:r>
      <w:r>
        <w:rPr>
          <w:rFonts w:hint="eastAsia" w:ascii="宋体" w:hAnsi="宋体" w:cs="宋体"/>
          <w:color w:val="000000"/>
          <w:kern w:val="0"/>
          <w:sz w:val="24"/>
          <w:lang w:val="en-US" w:eastAsia="zh-CN"/>
        </w:rPr>
        <w:t>00</w:t>
      </w:r>
      <w:r>
        <w:rPr>
          <w:rFonts w:hint="eastAsia" w:ascii="宋体" w:hAnsi="宋体" w:eastAsia="宋体" w:cs="宋体"/>
          <w:color w:val="000000"/>
          <w:kern w:val="0"/>
          <w:sz w:val="24"/>
          <w:lang w:val="en-US" w:eastAsia="zh-CN"/>
        </w:rPr>
        <w:t xml:space="preserve"> </w:t>
      </w:r>
      <w:r>
        <w:rPr>
          <w:rFonts w:hint="eastAsia" w:ascii="宋体" w:hAnsi="宋体" w:eastAsia="宋体" w:cs="宋体"/>
          <w:color w:val="000000"/>
          <w:kern w:val="0"/>
          <w:sz w:val="24"/>
        </w:rPr>
        <w:t>分</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（北京时间）</w:t>
      </w:r>
    </w:p>
    <w:p w14:paraId="09808621">
      <w:pPr>
        <w:pStyle w:val="7"/>
        <w:spacing w:line="360" w:lineRule="auto"/>
        <w:ind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开标地点：</w:t>
      </w:r>
      <w:r>
        <w:rPr>
          <w:rFonts w:hint="eastAsia" w:ascii="宋体" w:hAnsi="宋体" w:eastAsia="宋体" w:cs="宋体"/>
          <w:color w:val="000000" w:themeColor="text1"/>
          <w:kern w:val="0"/>
          <w:highlight w:val="none"/>
          <w:lang w:val="en-US" w:eastAsia="zh-CN"/>
          <w14:textFill>
            <w14:solidFill>
              <w14:schemeClr w14:val="tx1"/>
            </w14:solidFill>
          </w14:textFill>
        </w:rPr>
        <w:t>上饶市信州区锦绣路2号广信大厦A栋3楼</w:t>
      </w:r>
    </w:p>
    <w:p w14:paraId="61426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七、发布公告的媒介：</w:t>
      </w:r>
    </w:p>
    <w:p w14:paraId="761FD32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ascii="宋体" w:hAnsi="宋体" w:eastAsia="宋体" w:cs="宋体"/>
          <w:color w:val="000000" w:themeColor="text1"/>
          <w:kern w:val="0"/>
          <w:sz w:val="24"/>
          <w:szCs w:val="24"/>
          <w:highlight w:val="none"/>
          <w:lang w:val="en-US" w:eastAsia="zh-CN" w:bidi="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zh-CN"/>
          <w14:textFill>
            <w14:solidFill>
              <w14:schemeClr w14:val="tx1"/>
            </w14:solidFill>
          </w14:textFill>
        </w:rPr>
        <w:t>阳光采购服务平台</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（https://www.ygcgfwpt.com/）</w:t>
      </w:r>
      <w:r>
        <w:rPr>
          <w:rFonts w:hint="eastAsia" w:ascii="宋体" w:hAnsi="宋体" w:eastAsia="宋体" w:cs="宋体"/>
          <w:color w:val="000000" w:themeColor="text1"/>
          <w:kern w:val="0"/>
          <w:sz w:val="24"/>
          <w:szCs w:val="24"/>
          <w:highlight w:val="none"/>
          <w:lang w:val="en-US" w:eastAsia="zh-CN" w:bidi="zh-CN"/>
          <w14:textFill>
            <w14:solidFill>
              <w14:schemeClr w14:val="tx1"/>
            </w14:solidFill>
          </w14:textFill>
        </w:rPr>
        <w:t>、江西省招投标网(http://www.jxtb.org.cn/)及上饶市城市运营（控股）集团有限公司（http://www.jxsrck.cn/）。</w:t>
      </w:r>
    </w:p>
    <w:p w14:paraId="5FE46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b/>
          <w:bCs w:val="0"/>
          <w:color w:val="000000" w:themeColor="text1"/>
          <w:sz w:val="24"/>
          <w:szCs w:val="24"/>
          <w:highlight w:val="none"/>
          <w14:textFill>
            <w14:solidFill>
              <w14:schemeClr w14:val="tx1"/>
            </w14:solidFill>
          </w14:textFill>
        </w:rPr>
        <w:t>、</w:t>
      </w:r>
      <w:r>
        <w:rPr>
          <w:rStyle w:val="22"/>
          <w:rFonts w:hint="eastAsia" w:ascii="宋体" w:hAnsi="宋体" w:eastAsia="宋体" w:cs="宋体"/>
          <w:b/>
          <w:bCs/>
          <w:i w:val="0"/>
          <w:iCs w:val="0"/>
          <w:caps w:val="0"/>
          <w:color w:val="000000" w:themeColor="text1"/>
          <w:spacing w:val="0"/>
          <w:sz w:val="24"/>
          <w:szCs w:val="24"/>
          <w:highlight w:val="none"/>
          <w:shd w:val="clear" w:color="auto" w:fill="FFFFFF"/>
          <w14:textFill>
            <w14:solidFill>
              <w14:schemeClr w14:val="tx1"/>
            </w14:solidFill>
          </w14:textFill>
        </w:rPr>
        <w:t>联系方式</w:t>
      </w:r>
    </w:p>
    <w:p w14:paraId="002DF483">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jc w:val="left"/>
        <w:textAlignment w:val="auto"/>
        <w:outlineLvl w:val="9"/>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1.</w:t>
      </w:r>
      <w:r>
        <w:rPr>
          <w:rFonts w:hint="eastAsia" w:ascii="宋体" w:hAnsi="宋体" w:cs="宋体"/>
          <w:b/>
          <w:bCs/>
          <w:color w:val="000000" w:themeColor="text1"/>
          <w:kern w:val="0"/>
          <w:sz w:val="24"/>
          <w:szCs w:val="24"/>
          <w:highlight w:val="none"/>
          <w:u w:val="none"/>
          <w:lang w:val="en-US" w:eastAsia="zh-CN"/>
          <w14:textFill>
            <w14:solidFill>
              <w14:schemeClr w14:val="tx1"/>
            </w14:solidFill>
          </w14:textFill>
        </w:rPr>
        <w:t>采购人</w:t>
      </w: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信息</w:t>
      </w:r>
    </w:p>
    <w:p w14:paraId="2E39F266">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名称：上饶市城投建工集团有限公司</w:t>
      </w:r>
    </w:p>
    <w:p w14:paraId="25368D65">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cs="宋体"/>
          <w:color w:val="000000" w:themeColor="text1"/>
          <w:kern w:val="0"/>
          <w:sz w:val="24"/>
          <w:szCs w:val="24"/>
          <w:highlight w:val="none"/>
          <w:u w:val="single"/>
          <w:lang w:val="zh-TW"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地址：</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江西省上饶市信州区茶圣中路169号茶圣花园(与紫阳大道交汇处)</w:t>
      </w:r>
    </w:p>
    <w:p w14:paraId="6B614E29">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联系人：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周横</w:t>
      </w:r>
    </w:p>
    <w:p w14:paraId="0098792B">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联系电话：</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0793-8160598</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    </w:t>
      </w:r>
    </w:p>
    <w:p w14:paraId="5E521F7A">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jc w:val="left"/>
        <w:textAlignment w:val="auto"/>
        <w:outlineLvl w:val="9"/>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2.招标代理机构信息</w:t>
      </w:r>
    </w:p>
    <w:p w14:paraId="6857C470">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名称：</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上饶市城投工程管理咨询有限公司</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　</w:t>
      </w:r>
    </w:p>
    <w:p w14:paraId="70293FB0">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地址：</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江西省上饶市信州区茶圣中路169号茶圣花园(与紫阳大道交汇处)</w:t>
      </w:r>
    </w:p>
    <w:p w14:paraId="601B5D25">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联系人：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黄强</w:t>
      </w:r>
    </w:p>
    <w:p w14:paraId="1C399680">
      <w:pPr>
        <w:keepNext w:val="0"/>
        <w:keepLines w:val="0"/>
        <w:pageBreakBefore w:val="0"/>
        <w:widowControl/>
        <w:kinsoku/>
        <w:wordWrap w:val="0"/>
        <w:overflowPunct/>
        <w:topLinePunct w:val="0"/>
        <w:autoSpaceDE/>
        <w:autoSpaceDN/>
        <w:bidi w:val="0"/>
        <w:adjustRightInd w:val="0"/>
        <w:snapToGrid w:val="0"/>
        <w:spacing w:line="360" w:lineRule="auto"/>
        <w:ind w:firstLine="240" w:firstLineChars="100"/>
        <w:jc w:val="left"/>
        <w:textAlignment w:val="auto"/>
        <w:outlineLvl w:val="9"/>
        <w:rPr>
          <w:rFonts w:hint="default"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联系电话：</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0793-8301797、</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15907935941</w:t>
      </w:r>
    </w:p>
    <w:p w14:paraId="0930B241">
      <w:pPr>
        <w:keepNext w:val="0"/>
        <w:keepLines w:val="0"/>
        <w:pageBreakBefore w:val="0"/>
        <w:widowControl/>
        <w:kinsoku/>
        <w:wordWrap w:val="0"/>
        <w:overflowPunct/>
        <w:topLinePunct w:val="0"/>
        <w:autoSpaceDE/>
        <w:autoSpaceDN/>
        <w:bidi w:val="0"/>
        <w:adjustRightInd w:val="0"/>
        <w:snapToGrid w:val="0"/>
        <w:spacing w:line="360" w:lineRule="auto"/>
        <w:ind w:firstLine="498" w:firstLineChars="200"/>
        <w:jc w:val="left"/>
        <w:textAlignment w:val="auto"/>
        <w:outlineLvl w:val="9"/>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i w:val="0"/>
          <w:caps w:val="0"/>
          <w:color w:val="000000" w:themeColor="text1"/>
          <w:spacing w:val="4"/>
          <w:sz w:val="24"/>
          <w:szCs w:val="24"/>
          <w:highlight w:val="none"/>
          <w:shd w:val="clear" w:color="auto" w:fill="FFFFFF"/>
          <w:lang w:val="en-US" w:eastAsia="zh-CN"/>
          <w14:textFill>
            <w14:solidFill>
              <w14:schemeClr w14:val="tx1"/>
            </w14:solidFill>
          </w14:textFill>
        </w:rPr>
        <w:t>九</w:t>
      </w:r>
      <w:r>
        <w:rPr>
          <w:rFonts w:hint="eastAsia" w:ascii="宋体" w:hAnsi="宋体" w:eastAsia="宋体" w:cs="宋体"/>
          <w:b/>
          <w:bCs w:val="0"/>
          <w:i w:val="0"/>
          <w:caps w:val="0"/>
          <w:color w:val="000000" w:themeColor="text1"/>
          <w:spacing w:val="4"/>
          <w:sz w:val="24"/>
          <w:szCs w:val="24"/>
          <w:highlight w:val="none"/>
          <w:shd w:val="clear" w:color="auto" w:fill="FFFFFF"/>
          <w14:textFill>
            <w14:solidFill>
              <w14:schemeClr w14:val="tx1"/>
            </w14:solidFill>
          </w14:textFill>
        </w:rPr>
        <w:t>、</w:t>
      </w:r>
      <w:r>
        <w:rPr>
          <w:rStyle w:val="22"/>
          <w:rFonts w:hint="eastAsia" w:ascii="宋体" w:hAnsi="宋体" w:eastAsia="宋体" w:cs="宋体"/>
          <w:b/>
          <w:bCs/>
          <w:i w:val="0"/>
          <w:iCs w:val="0"/>
          <w:caps w:val="0"/>
          <w:color w:val="000000" w:themeColor="text1"/>
          <w:spacing w:val="0"/>
          <w:sz w:val="24"/>
          <w:szCs w:val="24"/>
          <w:highlight w:val="none"/>
          <w:shd w:val="clear" w:color="auto" w:fill="FFFFFF"/>
          <w14:textFill>
            <w14:solidFill>
              <w14:schemeClr w14:val="tx1"/>
            </w14:solidFill>
          </w14:textFill>
        </w:rPr>
        <w:t>其他说明</w:t>
      </w:r>
    </w:p>
    <w:p w14:paraId="6AF25CD3">
      <w:pPr>
        <w:pageBreakBefore w:val="0"/>
        <w:numPr>
          <w:ilvl w:val="0"/>
          <w:numId w:val="0"/>
        </w:numPr>
        <w:topLinePunct w:val="0"/>
        <w:bidi w:val="0"/>
        <w:spacing w:line="360" w:lineRule="auto"/>
        <w:ind w:right="344" w:rightChars="0" w:firstLine="480" w:firstLineChars="200"/>
        <w:jc w:val="left"/>
        <w:textAlignment w:val="auto"/>
        <w:outlineLvl w:val="1"/>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10" w:name="_Toc21255"/>
      <w:r>
        <w:rPr>
          <w:rFonts w:hint="eastAsia" w:ascii="宋体" w:hAnsi="宋体" w:eastAsia="宋体" w:cs="宋体"/>
          <w:b w:val="0"/>
          <w:bCs w:val="0"/>
          <w:color w:val="000000" w:themeColor="text1"/>
          <w:sz w:val="24"/>
          <w:szCs w:val="24"/>
          <w:highlight w:val="none"/>
          <w14:textFill>
            <w14:solidFill>
              <w14:schemeClr w14:val="tx1"/>
            </w14:solidFill>
          </w14:textFill>
        </w:rPr>
        <w:t>1</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开标注意事项：上饶市阳光采购服务平台开标区域（含开标室等所有三楼区域）禁止吸烟，</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color w:val="000000" w:themeColor="text1"/>
          <w:sz w:val="24"/>
          <w:szCs w:val="24"/>
          <w:highlight w:val="none"/>
          <w14:textFill>
            <w14:solidFill>
              <w14:schemeClr w14:val="tx1"/>
            </w14:solidFill>
          </w14:textFill>
        </w:rPr>
        <w:t>不得在开标室及公共区域、楼道等各角落吸烟。</w:t>
      </w:r>
    </w:p>
    <w:p w14:paraId="17B25FFF">
      <w:pPr>
        <w:pageBreakBefore w:val="0"/>
        <w:numPr>
          <w:ilvl w:val="0"/>
          <w:numId w:val="0"/>
        </w:numPr>
        <w:topLinePunct w:val="0"/>
        <w:bidi w:val="0"/>
        <w:spacing w:line="360" w:lineRule="auto"/>
        <w:ind w:right="344" w:rightChars="0" w:firstLine="480" w:firstLineChars="200"/>
        <w:jc w:val="left"/>
        <w:textAlignment w:val="auto"/>
        <w:outlineLvl w:val="1"/>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14:textFill>
            <w14:solidFill>
              <w14:schemeClr w14:val="tx1"/>
            </w14:solidFill>
          </w14:textFill>
        </w:rPr>
        <w:t>2</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凡下载本</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b w:val="0"/>
          <w:bCs w:val="0"/>
          <w:color w:val="000000" w:themeColor="text1"/>
          <w:sz w:val="24"/>
          <w:szCs w:val="24"/>
          <w:highlight w:val="none"/>
          <w14:textFill>
            <w14:solidFill>
              <w14:schemeClr w14:val="tx1"/>
            </w14:solidFill>
          </w14:textFill>
        </w:rPr>
        <w:t>的单位，必须就此采购项目的相关事宜详细咨询（如需参考资料可与采购单位或代理机构联系）。否则参与</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color w:val="000000" w:themeColor="text1"/>
          <w:sz w:val="24"/>
          <w:szCs w:val="24"/>
          <w:highlight w:val="none"/>
          <w14:textFill>
            <w14:solidFill>
              <w14:schemeClr w14:val="tx1"/>
            </w14:solidFill>
          </w14:textFill>
        </w:rPr>
        <w:t>即被视为已经充分了解了采购方的需求，成交后承担</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范围内的所有要求（参加采购活动前如有不明之处应向采购单位或代理机构详细了解）。 </w:t>
      </w:r>
    </w:p>
    <w:p w14:paraId="56F66285">
      <w:pPr>
        <w:pageBreakBefore w:val="0"/>
        <w:numPr>
          <w:ilvl w:val="0"/>
          <w:numId w:val="0"/>
        </w:numPr>
        <w:topLinePunct w:val="0"/>
        <w:bidi w:val="0"/>
        <w:spacing w:line="360" w:lineRule="auto"/>
        <w:ind w:right="344" w:rightChars="0" w:firstLine="480" w:firstLineChars="200"/>
        <w:jc w:val="left"/>
        <w:textAlignment w:val="auto"/>
        <w:outlineLvl w:val="1"/>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14:textFill>
            <w14:solidFill>
              <w14:schemeClr w14:val="tx1"/>
            </w14:solidFill>
          </w14:textFill>
        </w:rPr>
        <w:t>3</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以上告知内容如有变动，将在相关网络媒体上另行通知，请各潜在投标人随时关注“上饶市阳光采购服务平台”（https://www.ygcgfwpt.com/）网站。 </w:t>
      </w:r>
    </w:p>
    <w:p w14:paraId="076BA563">
      <w:pPr>
        <w:pageBreakBefore w:val="0"/>
        <w:numPr>
          <w:ilvl w:val="0"/>
          <w:numId w:val="0"/>
        </w:numPr>
        <w:topLinePunct w:val="0"/>
        <w:bidi w:val="0"/>
        <w:spacing w:line="360" w:lineRule="auto"/>
        <w:ind w:right="344" w:rightChars="0" w:firstLine="480" w:firstLineChars="200"/>
        <w:jc w:val="left"/>
        <w:textAlignment w:val="auto"/>
        <w:outlineLvl w:val="1"/>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4</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其他未尽事宜详见招标文件。</w:t>
      </w:r>
    </w:p>
    <w:p w14:paraId="78062025">
      <w:pPr>
        <w:pageBreakBefore w:val="0"/>
        <w:numPr>
          <w:ilvl w:val="0"/>
          <w:numId w:val="0"/>
        </w:numPr>
        <w:topLinePunct w:val="0"/>
        <w:bidi w:val="0"/>
        <w:spacing w:line="360" w:lineRule="auto"/>
        <w:ind w:right="344" w:rightChars="0" w:firstLine="480" w:firstLineChars="200"/>
        <w:jc w:val="left"/>
        <w:textAlignment w:val="auto"/>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p>
    <w:p w14:paraId="62266207">
      <w:pPr>
        <w:pageBreakBefore w:val="0"/>
        <w:numPr>
          <w:ilvl w:val="0"/>
          <w:numId w:val="0"/>
        </w:numPr>
        <w:topLinePunct w:val="0"/>
        <w:bidi w:val="0"/>
        <w:spacing w:line="360" w:lineRule="auto"/>
        <w:ind w:right="344" w:rightChars="0" w:firstLine="480" w:firstLineChars="200"/>
        <w:jc w:val="left"/>
        <w:textAlignment w:val="auto"/>
        <w:outlineLvl w:val="9"/>
        <w:rPr>
          <w:rFonts w:hint="eastAsia" w:ascii="宋体" w:hAnsi="宋体" w:eastAsia="宋体" w:cs="宋体"/>
          <w:b w:val="0"/>
          <w:bCs w:val="0"/>
          <w:color w:val="000000" w:themeColor="text1"/>
          <w:sz w:val="24"/>
          <w:szCs w:val="24"/>
          <w:highlight w:val="none"/>
          <w14:textFill>
            <w14:solidFill>
              <w14:schemeClr w14:val="tx1"/>
            </w14:solidFill>
          </w14:textFill>
        </w:rPr>
      </w:pPr>
    </w:p>
    <w:p w14:paraId="29E9D2C5">
      <w:pPr>
        <w:pStyle w:val="18"/>
        <w:rPr>
          <w:rFonts w:hint="eastAsia" w:ascii="宋体" w:hAnsi="宋体" w:eastAsia="宋体" w:cs="宋体"/>
          <w:b w:val="0"/>
          <w:bCs w:val="0"/>
          <w:color w:val="000000" w:themeColor="text1"/>
          <w:sz w:val="24"/>
          <w:szCs w:val="24"/>
          <w:highlight w:val="none"/>
          <w14:textFill>
            <w14:solidFill>
              <w14:schemeClr w14:val="tx1"/>
            </w14:solidFill>
          </w14:textFill>
        </w:rPr>
      </w:pPr>
    </w:p>
    <w:p w14:paraId="73A50F1E">
      <w:pPr>
        <w:rPr>
          <w:rFonts w:hint="eastAsia" w:ascii="宋体" w:hAnsi="宋体" w:eastAsia="宋体" w:cs="宋体"/>
          <w:b w:val="0"/>
          <w:bCs w:val="0"/>
          <w:color w:val="000000" w:themeColor="text1"/>
          <w:sz w:val="24"/>
          <w:szCs w:val="24"/>
          <w:highlight w:val="none"/>
          <w14:textFill>
            <w14:solidFill>
              <w14:schemeClr w14:val="tx1"/>
            </w14:solidFill>
          </w14:textFill>
        </w:rPr>
      </w:pPr>
    </w:p>
    <w:p w14:paraId="78BAC28E">
      <w:pPr>
        <w:pStyle w:val="18"/>
        <w:rPr>
          <w:rFonts w:hint="eastAsia" w:ascii="宋体" w:hAnsi="宋体" w:eastAsia="宋体" w:cs="宋体"/>
          <w:b w:val="0"/>
          <w:bCs w:val="0"/>
          <w:color w:val="000000" w:themeColor="text1"/>
          <w:sz w:val="24"/>
          <w:szCs w:val="24"/>
          <w:highlight w:val="none"/>
          <w14:textFill>
            <w14:solidFill>
              <w14:schemeClr w14:val="tx1"/>
            </w14:solidFill>
          </w14:textFill>
        </w:rPr>
      </w:pPr>
    </w:p>
    <w:p w14:paraId="0B14956C">
      <w:pPr>
        <w:rPr>
          <w:rFonts w:hint="eastAsia" w:ascii="宋体" w:hAnsi="宋体" w:eastAsia="宋体" w:cs="宋体"/>
          <w:b w:val="0"/>
          <w:bCs w:val="0"/>
          <w:color w:val="000000" w:themeColor="text1"/>
          <w:sz w:val="24"/>
          <w:szCs w:val="24"/>
          <w:highlight w:val="none"/>
          <w14:textFill>
            <w14:solidFill>
              <w14:schemeClr w14:val="tx1"/>
            </w14:solidFill>
          </w14:textFill>
        </w:rPr>
      </w:pPr>
    </w:p>
    <w:p w14:paraId="033D2AC8">
      <w:pPr>
        <w:pStyle w:val="18"/>
        <w:rPr>
          <w:rFonts w:hint="eastAsia" w:ascii="宋体" w:hAnsi="宋体" w:eastAsia="宋体" w:cs="宋体"/>
          <w:b w:val="0"/>
          <w:bCs w:val="0"/>
          <w:color w:val="000000" w:themeColor="text1"/>
          <w:sz w:val="24"/>
          <w:szCs w:val="24"/>
          <w:highlight w:val="none"/>
          <w14:textFill>
            <w14:solidFill>
              <w14:schemeClr w14:val="tx1"/>
            </w14:solidFill>
          </w14:textFill>
        </w:rPr>
      </w:pPr>
    </w:p>
    <w:p w14:paraId="3A603E20">
      <w:pPr>
        <w:rPr>
          <w:rFonts w:hint="eastAsia" w:ascii="宋体" w:hAnsi="宋体" w:eastAsia="宋体" w:cs="宋体"/>
          <w:b w:val="0"/>
          <w:bCs w:val="0"/>
          <w:color w:val="000000" w:themeColor="text1"/>
          <w:sz w:val="24"/>
          <w:szCs w:val="24"/>
          <w:highlight w:val="none"/>
          <w14:textFill>
            <w14:solidFill>
              <w14:schemeClr w14:val="tx1"/>
            </w14:solidFill>
          </w14:textFill>
        </w:rPr>
      </w:pPr>
    </w:p>
    <w:p w14:paraId="2CB2EA2F">
      <w:pPr>
        <w:pStyle w:val="18"/>
        <w:rPr>
          <w:rFonts w:hint="eastAsia" w:ascii="宋体" w:hAnsi="宋体" w:eastAsia="宋体" w:cs="宋体"/>
          <w:b w:val="0"/>
          <w:bCs w:val="0"/>
          <w:color w:val="000000" w:themeColor="text1"/>
          <w:sz w:val="24"/>
          <w:szCs w:val="24"/>
          <w:highlight w:val="none"/>
          <w14:textFill>
            <w14:solidFill>
              <w14:schemeClr w14:val="tx1"/>
            </w14:solidFill>
          </w14:textFill>
        </w:rPr>
      </w:pPr>
    </w:p>
    <w:p w14:paraId="44167ABB">
      <w:pPr>
        <w:rPr>
          <w:rFonts w:hint="eastAsia" w:ascii="宋体" w:hAnsi="宋体" w:eastAsia="宋体" w:cs="宋体"/>
          <w:b w:val="0"/>
          <w:bCs w:val="0"/>
          <w:color w:val="000000" w:themeColor="text1"/>
          <w:sz w:val="24"/>
          <w:szCs w:val="24"/>
          <w:highlight w:val="none"/>
          <w14:textFill>
            <w14:solidFill>
              <w14:schemeClr w14:val="tx1"/>
            </w14:solidFill>
          </w14:textFill>
        </w:rPr>
      </w:pPr>
    </w:p>
    <w:p w14:paraId="15EED69D">
      <w:pPr>
        <w:pageBreakBefore w:val="0"/>
        <w:numPr>
          <w:ilvl w:val="0"/>
          <w:numId w:val="0"/>
        </w:numPr>
        <w:topLinePunct w:val="0"/>
        <w:bidi w:val="0"/>
        <w:spacing w:line="360" w:lineRule="auto"/>
        <w:ind w:right="344" w:rightChars="0"/>
        <w:jc w:val="both"/>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bookmarkStart w:id="11" w:name="_Toc9421"/>
    </w:p>
    <w:p w14:paraId="0698F36A">
      <w:pPr>
        <w:pageBreakBefore w:val="0"/>
        <w:numPr>
          <w:ilvl w:val="0"/>
          <w:numId w:val="0"/>
        </w:numPr>
        <w:topLinePunct w:val="0"/>
        <w:bidi w:val="0"/>
        <w:spacing w:line="360" w:lineRule="auto"/>
        <w:ind w:right="344" w:rightChars="0"/>
        <w:jc w:val="both"/>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53155DF8">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eastAsia="zh-CN"/>
          <w14:textFill>
            <w14:solidFill>
              <w14:schemeClr w14:val="tx1"/>
            </w14:solidFill>
          </w14:textFill>
        </w:rPr>
      </w:pPr>
      <w:bookmarkStart w:id="12" w:name="_Toc22805"/>
      <w:r>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t xml:space="preserve">第二章  </w:t>
      </w:r>
      <w:r>
        <w:rPr>
          <w:rFonts w:hint="eastAsia" w:ascii="宋体" w:hAnsi="宋体" w:cs="宋体"/>
          <w:b/>
          <w:bCs/>
          <w:i w:val="0"/>
          <w:iCs w:val="0"/>
          <w:color w:val="000000" w:themeColor="text1"/>
          <w:sz w:val="32"/>
          <w:szCs w:val="28"/>
          <w:highlight w:val="none"/>
          <w:lang w:eastAsia="zh-CN"/>
          <w14:textFill>
            <w14:solidFill>
              <w14:schemeClr w14:val="tx1"/>
            </w14:solidFill>
          </w14:textFill>
        </w:rPr>
        <w:t>投标人</w:t>
      </w:r>
      <w:r>
        <w:rPr>
          <w:rFonts w:hint="eastAsia" w:ascii="宋体" w:hAnsi="宋体" w:eastAsia="宋体" w:cs="宋体"/>
          <w:b/>
          <w:bCs/>
          <w:i w:val="0"/>
          <w:iCs w:val="0"/>
          <w:color w:val="000000" w:themeColor="text1"/>
          <w:sz w:val="32"/>
          <w:szCs w:val="28"/>
          <w:highlight w:val="none"/>
          <w:lang w:eastAsia="zh-CN"/>
          <w14:textFill>
            <w14:solidFill>
              <w14:schemeClr w14:val="tx1"/>
            </w14:solidFill>
          </w14:textFill>
        </w:rPr>
        <w:t>须知及</w:t>
      </w:r>
      <w:r>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t>前</w:t>
      </w:r>
      <w:r>
        <w:rPr>
          <w:rFonts w:hint="eastAsia" w:ascii="宋体" w:hAnsi="宋体" w:eastAsia="宋体" w:cs="宋体"/>
          <w:b/>
          <w:bCs/>
          <w:i w:val="0"/>
          <w:iCs w:val="0"/>
          <w:color w:val="000000" w:themeColor="text1"/>
          <w:sz w:val="32"/>
          <w:szCs w:val="28"/>
          <w:highlight w:val="none"/>
          <w:lang w:eastAsia="zh-CN"/>
          <w14:textFill>
            <w14:solidFill>
              <w14:schemeClr w14:val="tx1"/>
            </w14:solidFill>
          </w14:textFill>
        </w:rPr>
        <w:t>附表</w:t>
      </w:r>
      <w:bookmarkEnd w:id="10"/>
      <w:bookmarkEnd w:id="11"/>
      <w:bookmarkEnd w:id="12"/>
    </w:p>
    <w:p w14:paraId="4334EA2F">
      <w:pPr>
        <w:numPr>
          <w:ilvl w:val="0"/>
          <w:numId w:val="0"/>
        </w:numPr>
        <w:spacing w:line="360" w:lineRule="auto"/>
        <w:jc w:val="center"/>
        <w:outlineLvl w:val="9"/>
        <w:rPr>
          <w:rFonts w:hint="eastAsia" w:ascii="宋体" w:hAnsi="宋体" w:eastAsia="宋体" w:cs="宋体"/>
          <w:b/>
          <w:bCs/>
          <w:i w:val="0"/>
          <w:iCs w:val="0"/>
          <w:color w:val="000000" w:themeColor="text1"/>
          <w:sz w:val="24"/>
          <w:szCs w:val="22"/>
          <w:highlight w:val="none"/>
          <w:lang w:val="en-US" w:eastAsia="zh-CN"/>
          <w14:textFill>
            <w14:solidFill>
              <w14:schemeClr w14:val="tx1"/>
            </w14:solidFill>
          </w14:textFill>
        </w:rPr>
      </w:pPr>
      <w:r>
        <w:rPr>
          <w:rFonts w:hint="eastAsia" w:ascii="宋体" w:hAnsi="宋体" w:eastAsia="宋体" w:cs="宋体"/>
          <w:b/>
          <w:bCs/>
          <w:i w:val="0"/>
          <w:iCs w:val="0"/>
          <w:color w:val="000000" w:themeColor="text1"/>
          <w:sz w:val="28"/>
          <w:szCs w:val="24"/>
          <w:highlight w:val="none"/>
          <w:lang w:val="en-US" w:eastAsia="zh-CN"/>
          <w14:textFill>
            <w14:solidFill>
              <w14:schemeClr w14:val="tx1"/>
            </w14:solidFill>
          </w14:textFill>
        </w:rPr>
        <w:t>一、前附表</w:t>
      </w:r>
    </w:p>
    <w:tbl>
      <w:tblPr>
        <w:tblStyle w:val="19"/>
        <w:tblpPr w:leftFromText="180" w:rightFromText="180" w:vertAnchor="text" w:horzAnchor="page" w:tblpXSpec="center" w:tblpY="280"/>
        <w:tblOverlap w:val="never"/>
        <w:tblW w:w="10256" w:type="dxa"/>
        <w:jc w:val="center"/>
        <w:tblLayout w:type="fixed"/>
        <w:tblCellMar>
          <w:top w:w="0" w:type="dxa"/>
          <w:left w:w="108" w:type="dxa"/>
          <w:bottom w:w="0" w:type="dxa"/>
          <w:right w:w="108" w:type="dxa"/>
        </w:tblCellMar>
      </w:tblPr>
      <w:tblGrid>
        <w:gridCol w:w="722"/>
        <w:gridCol w:w="9534"/>
      </w:tblGrid>
      <w:tr w14:paraId="32BC2620">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58266A64">
            <w:pPr>
              <w:keepNext w:val="0"/>
              <w:keepLines w:val="0"/>
              <w:pageBreakBefore w:val="0"/>
              <w:widowControl/>
              <w:kinsoku/>
              <w:wordWrap/>
              <w:overflowPunct/>
              <w:topLinePunct w:val="0"/>
              <w:autoSpaceDE/>
              <w:autoSpaceDN/>
              <w:bidi w:val="0"/>
              <w:adjustRightInd/>
              <w:snapToGrid w:val="0"/>
              <w:spacing w:beforeLines="20" w:afterLines="20" w:line="360" w:lineRule="auto"/>
              <w:ind w:right="-105" w:rightChars="-50"/>
              <w:jc w:val="left"/>
              <w:textAlignment w:val="auto"/>
              <w:outlineLvl w:val="9"/>
              <w:rPr>
                <w:rFonts w:hint="eastAsia" w:ascii="宋体" w:hAnsi="宋体" w:eastAsia="宋体" w:cs="宋体"/>
                <w:b/>
                <w:bCs/>
                <w:i w:val="0"/>
                <w:iCs w:val="0"/>
                <w:color w:val="000000" w:themeColor="text1"/>
                <w:kern w:val="0"/>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14:textFill>
                  <w14:solidFill>
                    <w14:schemeClr w14:val="tx1"/>
                  </w14:solidFill>
                </w14:textFill>
              </w:rPr>
              <w:t>序号</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517EEC3B">
            <w:pPr>
              <w:keepNext w:val="0"/>
              <w:keepLines w:val="0"/>
              <w:pageBreakBefore w:val="0"/>
              <w:widowControl/>
              <w:kinsoku/>
              <w:wordWrap/>
              <w:overflowPunct/>
              <w:topLinePunct w:val="0"/>
              <w:autoSpaceDE/>
              <w:autoSpaceDN/>
              <w:bidi w:val="0"/>
              <w:adjustRightInd/>
              <w:snapToGrid w:val="0"/>
              <w:spacing w:beforeLines="20" w:afterLines="20" w:line="360" w:lineRule="auto"/>
              <w:ind w:right="-105" w:rightChars="-50"/>
              <w:jc w:val="center"/>
              <w:textAlignment w:val="auto"/>
              <w:outlineLvl w:val="9"/>
              <w:rPr>
                <w:rFonts w:hint="eastAsia" w:ascii="宋体" w:hAnsi="宋体" w:eastAsia="宋体" w:cs="宋体"/>
                <w:b/>
                <w:bCs/>
                <w:i w:val="0"/>
                <w:iCs w:val="0"/>
                <w:color w:val="000000" w:themeColor="text1"/>
                <w:kern w:val="0"/>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14:textFill>
                  <w14:solidFill>
                    <w14:schemeClr w14:val="tx1"/>
                  </w14:solidFill>
                </w14:textFill>
              </w:rPr>
              <w:t>内         容</w:t>
            </w:r>
          </w:p>
        </w:tc>
      </w:tr>
      <w:tr w14:paraId="5385F42D">
        <w:tblPrEx>
          <w:tblCellMar>
            <w:top w:w="0" w:type="dxa"/>
            <w:left w:w="108" w:type="dxa"/>
            <w:bottom w:w="0" w:type="dxa"/>
            <w:right w:w="108" w:type="dxa"/>
          </w:tblCellMar>
        </w:tblPrEx>
        <w:trPr>
          <w:trHeight w:val="90"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3F78A589">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3470D90A">
            <w:pPr>
              <w:keepNext w:val="0"/>
              <w:keepLines w:val="0"/>
              <w:pageBreakBefore w:val="0"/>
              <w:widowControl/>
              <w:kinsoku/>
              <w:wordWrap/>
              <w:overflowPunct/>
              <w:topLinePunct w:val="0"/>
              <w:autoSpaceDE/>
              <w:autoSpaceDN/>
              <w:bidi w:val="0"/>
              <w:adjustRightInd/>
              <w:snapToGrid w:val="0"/>
              <w:spacing w:beforeLines="20" w:afterLines="20" w:line="360" w:lineRule="auto"/>
              <w:ind w:right="-105" w:rightChars="-5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bidi="ar"/>
                <w14:textFill>
                  <w14:solidFill>
                    <w14:schemeClr w14:val="tx1"/>
                  </w14:solidFill>
                </w14:textFill>
              </w:rPr>
              <w:t>项目名称</w:t>
            </w:r>
            <w:r>
              <w:rPr>
                <w:rFonts w:hint="eastAsia" w:ascii="宋体" w:hAnsi="宋体" w:eastAsia="宋体" w:cs="宋体"/>
                <w:b/>
                <w:bCs/>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cs="宋体"/>
                <w:b w:val="0"/>
                <w:color w:val="000000" w:themeColor="text1"/>
                <w:sz w:val="24"/>
                <w:szCs w:val="24"/>
                <w:highlight w:val="none"/>
                <w:u w:val="single"/>
                <w:shd w:val="clear" w:color="auto" w:fill="auto"/>
                <w:lang w:val="en-US" w:eastAsia="zh-CN"/>
                <w14:textFill>
                  <w14:solidFill>
                    <w14:schemeClr w14:val="tx1"/>
                  </w14:solidFill>
                </w14:textFill>
              </w:rPr>
              <w:t>上饶市紫阳大道6号楼内部局部改造工程配套办公生活设施采购项目</w:t>
            </w:r>
          </w:p>
          <w:p w14:paraId="6F0C17D9">
            <w:pPr>
              <w:keepNext w:val="0"/>
              <w:keepLines w:val="0"/>
              <w:pageBreakBefore w:val="0"/>
              <w:widowControl/>
              <w:kinsoku/>
              <w:wordWrap/>
              <w:overflowPunct/>
              <w:topLinePunct w:val="0"/>
              <w:autoSpaceDE/>
              <w:autoSpaceDN/>
              <w:bidi w:val="0"/>
              <w:adjustRightInd/>
              <w:snapToGrid w:val="0"/>
              <w:spacing w:beforeLines="20" w:afterLines="20" w:line="360" w:lineRule="auto"/>
              <w:ind w:right="-105" w:rightChars="-50"/>
              <w:jc w:val="left"/>
              <w:textAlignment w:val="auto"/>
              <w:outlineLvl w:val="9"/>
              <w:rPr>
                <w:rFonts w:hint="default" w:ascii="宋体" w:hAnsi="宋体" w:eastAsia="宋体" w:cs="宋体"/>
                <w:i w:val="0"/>
                <w:iCs w:val="0"/>
                <w:color w:val="000000" w:themeColor="text1"/>
                <w:kern w:val="0"/>
                <w:sz w:val="24"/>
                <w:szCs w:val="24"/>
                <w:highlight w:val="none"/>
                <w:u w:val="singl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eastAsia="zh-CN" w:bidi="ar"/>
                <w14:textFill>
                  <w14:solidFill>
                    <w14:schemeClr w14:val="tx1"/>
                  </w14:solidFill>
                </w14:textFill>
              </w:rPr>
              <w:t>项目</w:t>
            </w:r>
            <w:r>
              <w:rPr>
                <w:rFonts w:hint="eastAsia" w:ascii="宋体" w:hAnsi="宋体" w:eastAsia="宋体" w:cs="宋体"/>
                <w:b/>
                <w:bCs/>
                <w:i w:val="0"/>
                <w:iCs w:val="0"/>
                <w:color w:val="000000" w:themeColor="text1"/>
                <w:kern w:val="0"/>
                <w:sz w:val="24"/>
                <w:szCs w:val="24"/>
                <w:highlight w:val="none"/>
                <w:lang w:bidi="ar"/>
                <w14:textFill>
                  <w14:solidFill>
                    <w14:schemeClr w14:val="tx1"/>
                  </w14:solidFill>
                </w14:textFill>
              </w:rPr>
              <w:t>编号</w:t>
            </w:r>
            <w:r>
              <w:rPr>
                <w:rFonts w:hint="eastAsia" w:ascii="宋体" w:hAnsi="宋体" w:eastAsia="宋体" w:cs="宋体"/>
                <w:b/>
                <w:bCs/>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kern w:val="0"/>
                <w:sz w:val="24"/>
                <w:szCs w:val="24"/>
                <w:highlight w:val="none"/>
                <w:u w:val="single"/>
                <w:lang w:val="en-US" w:eastAsia="zh-CN" w:bidi="ar"/>
                <w14:textFill>
                  <w14:solidFill>
                    <w14:schemeClr w14:val="tx1"/>
                  </w14:solidFill>
                </w14:textFill>
              </w:rPr>
              <w:t>SRCK-JG-HW-2025-001</w:t>
            </w:r>
          </w:p>
        </w:tc>
      </w:tr>
      <w:tr w14:paraId="03A8DBB7">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444D9D8F">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06074A7A">
            <w:pPr>
              <w:keepNext w:val="0"/>
              <w:keepLines w:val="0"/>
              <w:pageBreakBefore w:val="0"/>
              <w:widowControl/>
              <w:kinsoku/>
              <w:wordWrap/>
              <w:overflowPunct/>
              <w:topLinePunct w:val="0"/>
              <w:autoSpaceDE/>
              <w:autoSpaceDN/>
              <w:bidi w:val="0"/>
              <w:adjustRightInd/>
              <w:snapToGrid w:val="0"/>
              <w:spacing w:beforeLines="20" w:afterLines="20" w:line="360" w:lineRule="auto"/>
              <w:ind w:right="-105" w:rightChars="-50"/>
              <w:jc w:val="left"/>
              <w:textAlignment w:val="auto"/>
              <w:outlineLvl w:val="9"/>
              <w:rPr>
                <w:rFonts w:hint="eastAsia"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b/>
                <w:bCs/>
                <w:i w:val="0"/>
                <w:iCs w:val="0"/>
                <w:color w:val="000000" w:themeColor="text1"/>
                <w:kern w:val="0"/>
                <w:sz w:val="24"/>
                <w:szCs w:val="24"/>
                <w:highlight w:val="none"/>
                <w:lang w:eastAsia="zh-CN" w:bidi="ar"/>
                <w14:textFill>
                  <w14:solidFill>
                    <w14:schemeClr w14:val="tx1"/>
                  </w14:solidFill>
                </w14:textFill>
              </w:rPr>
              <w:t>名称：</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上饶市城投建工集团有限公司</w:t>
            </w:r>
          </w:p>
          <w:p w14:paraId="7B992A7A">
            <w:pPr>
              <w:keepNext w:val="0"/>
              <w:keepLines w:val="0"/>
              <w:pageBreakBefore w:val="0"/>
              <w:widowControl/>
              <w:kinsoku/>
              <w:wordWrap w:val="0"/>
              <w:overflowPunct/>
              <w:topLinePunct w:val="0"/>
              <w:autoSpaceDE/>
              <w:autoSpaceDN/>
              <w:bidi w:val="0"/>
              <w:adjustRightInd w:val="0"/>
              <w:snapToGrid w:val="0"/>
              <w:spacing w:line="360" w:lineRule="auto"/>
              <w:ind w:firstLine="0" w:firstLineChars="0"/>
              <w:jc w:val="left"/>
              <w:textAlignment w:val="auto"/>
              <w:outlineLvl w:val="9"/>
              <w:rPr>
                <w:rFonts w:hint="eastAsia" w:ascii="宋体" w:hAnsi="宋体" w:cs="宋体"/>
                <w:color w:val="000000" w:themeColor="text1"/>
                <w:kern w:val="0"/>
                <w:sz w:val="24"/>
                <w:szCs w:val="24"/>
                <w:highlight w:val="none"/>
                <w:u w:val="single"/>
                <w:lang w:val="zh-TW"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地址：</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江西省上饶市信州区茶圣中路169号茶圣花园(与紫阳大道交汇处)</w:t>
            </w:r>
          </w:p>
          <w:p w14:paraId="0740F9DD">
            <w:pPr>
              <w:keepNext w:val="0"/>
              <w:keepLines w:val="0"/>
              <w:pageBreakBefore w:val="0"/>
              <w:widowControl/>
              <w:kinsoku/>
              <w:wordWrap w:val="0"/>
              <w:overflowPunct/>
              <w:topLinePunct w:val="0"/>
              <w:autoSpaceDE/>
              <w:autoSpaceDN/>
              <w:bidi w:val="0"/>
              <w:adjustRightInd w:val="0"/>
              <w:snapToGrid w:val="0"/>
              <w:spacing w:line="360" w:lineRule="auto"/>
              <w:ind w:firstLine="0" w:firstLineChars="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联系人：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周横</w:t>
            </w:r>
          </w:p>
          <w:p w14:paraId="62D4350C">
            <w:pPr>
              <w:pStyle w:val="7"/>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联系电话：</w:t>
            </w:r>
            <w:r>
              <w:rPr>
                <w:rFonts w:hint="eastAsia" w:ascii="宋体" w:hAnsi="宋体" w:eastAsia="宋体" w:cs="宋体"/>
                <w:i w:val="0"/>
                <w:iCs w:val="0"/>
                <w:caps w:val="0"/>
                <w:color w:val="000000" w:themeColor="text1"/>
                <w:spacing w:val="0"/>
                <w:kern w:val="0"/>
                <w:sz w:val="24"/>
                <w:szCs w:val="24"/>
                <w:highlight w:val="none"/>
                <w:u w:val="single"/>
                <w:shd w:val="clear" w:color="auto" w:fill="FFFFFF"/>
                <w:lang w:val="en-US" w:eastAsia="zh-CN" w:bidi="ar"/>
                <w14:textFill>
                  <w14:solidFill>
                    <w14:schemeClr w14:val="tx1"/>
                  </w14:solidFill>
                </w14:textFill>
              </w:rPr>
              <w:t>0793-8160598</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 </w:t>
            </w:r>
          </w:p>
        </w:tc>
      </w:tr>
      <w:tr w14:paraId="6248A4AA">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7CFB2E18">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6874F76F">
            <w:pPr>
              <w:keepNext w:val="0"/>
              <w:keepLines w:val="0"/>
              <w:pageBreakBefore w:val="0"/>
              <w:widowControl/>
              <w:kinsoku/>
              <w:wordWrap w:val="0"/>
              <w:overflowPunct/>
              <w:topLinePunct w:val="0"/>
              <w:autoSpaceDE/>
              <w:autoSpaceDN/>
              <w:bidi w:val="0"/>
              <w:adjustRightInd w:val="0"/>
              <w:snapToGrid w:val="0"/>
              <w:spacing w:line="360" w:lineRule="auto"/>
              <w:ind w:firstLine="0" w:firstLineChars="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eastAsia="zh-CN" w:bidi="ar"/>
                <w14:textFill>
                  <w14:solidFill>
                    <w14:schemeClr w14:val="tx1"/>
                  </w14:solidFill>
                </w14:textFill>
              </w:rPr>
              <w:t>招标代理机构：</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上饶市城投工程管理咨询有限公司</w:t>
            </w:r>
          </w:p>
          <w:p w14:paraId="2DB65E5C">
            <w:pPr>
              <w:keepNext w:val="0"/>
              <w:keepLines w:val="0"/>
              <w:pageBreakBefore w:val="0"/>
              <w:widowControl/>
              <w:kinsoku/>
              <w:wordWrap w:val="0"/>
              <w:overflowPunct/>
              <w:topLinePunct w:val="0"/>
              <w:autoSpaceDE/>
              <w:autoSpaceDN/>
              <w:bidi w:val="0"/>
              <w:adjustRightInd w:val="0"/>
              <w:snapToGrid w:val="0"/>
              <w:spacing w:line="360" w:lineRule="auto"/>
              <w:ind w:firstLine="0" w:firstLineChars="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地址：</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江西省上饶市信州区茶圣中路169号茶圣花园(与紫阳大道交汇处)</w:t>
            </w:r>
          </w:p>
          <w:p w14:paraId="08B8C1B3">
            <w:pPr>
              <w:keepNext w:val="0"/>
              <w:keepLines w:val="0"/>
              <w:pageBreakBefore w:val="0"/>
              <w:widowControl/>
              <w:kinsoku/>
              <w:wordWrap w:val="0"/>
              <w:overflowPunct/>
              <w:topLinePunct w:val="0"/>
              <w:autoSpaceDE/>
              <w:autoSpaceDN/>
              <w:bidi w:val="0"/>
              <w:adjustRightInd w:val="0"/>
              <w:snapToGrid w:val="0"/>
              <w:spacing w:line="360" w:lineRule="auto"/>
              <w:ind w:firstLine="0" w:firstLineChars="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联系人：</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黄强</w:t>
            </w:r>
          </w:p>
          <w:p w14:paraId="443DFE34">
            <w:pPr>
              <w:keepNext w:val="0"/>
              <w:keepLines w:val="0"/>
              <w:pageBreakBefore w:val="0"/>
              <w:widowControl/>
              <w:kinsoku/>
              <w:wordWrap w:val="0"/>
              <w:overflowPunct/>
              <w:topLinePunct w:val="0"/>
              <w:autoSpaceDE/>
              <w:autoSpaceDN/>
              <w:bidi w:val="0"/>
              <w:adjustRightInd w:val="0"/>
              <w:snapToGrid w:val="0"/>
              <w:spacing w:line="360" w:lineRule="auto"/>
              <w:ind w:firstLine="0" w:firstLineChars="0"/>
              <w:jc w:val="left"/>
              <w:textAlignment w:val="auto"/>
              <w:outlineLvl w:val="9"/>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u w:val="none"/>
                <w:lang w:val="en-US" w:eastAsia="zh-CN"/>
                <w14:textFill>
                  <w14:solidFill>
                    <w14:schemeClr w14:val="tx1"/>
                  </w14:solidFill>
                </w14:textFill>
              </w:rPr>
              <w:t>联系电话：</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0793-8301797、</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15907935941</w:t>
            </w:r>
          </w:p>
        </w:tc>
      </w:tr>
      <w:tr w14:paraId="2D806B7E">
        <w:tblPrEx>
          <w:tblCellMar>
            <w:top w:w="0" w:type="dxa"/>
            <w:left w:w="108" w:type="dxa"/>
            <w:bottom w:w="0" w:type="dxa"/>
            <w:right w:w="108" w:type="dxa"/>
          </w:tblCellMar>
        </w:tblPrEx>
        <w:trPr>
          <w:trHeight w:val="388"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185DDC3A">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0409EE08">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highlight w:val="none"/>
                <w:lang w:val="en-US" w:bidi="ar-SA"/>
              </w:rPr>
            </w:pPr>
            <w:r>
              <w:rPr>
                <w:rFonts w:hint="eastAsia" w:ascii="宋体" w:hAnsi="宋体" w:cs="宋体"/>
                <w:b/>
                <w:bCs/>
                <w:color w:val="000000" w:themeColor="text1"/>
                <w:kern w:val="2"/>
                <w:sz w:val="24"/>
                <w:szCs w:val="24"/>
                <w:highlight w:val="none"/>
                <w:lang w:val="en-US" w:eastAsia="zh-CN" w:bidi="ar-SA"/>
                <w14:textFill>
                  <w14:solidFill>
                    <w14:schemeClr w14:val="tx1"/>
                  </w14:solidFill>
                </w14:textFill>
              </w:rPr>
              <w:t>投标人</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资格条件：</w:t>
            </w:r>
            <w:r>
              <w:rPr>
                <w:rFonts w:hint="eastAsia"/>
                <w:color w:val="auto"/>
                <w:highlight w:val="none"/>
                <w:lang w:val="en-US" w:bidi="ar-SA"/>
              </w:rPr>
              <w:t>1.具有独立承担民事责任的能力；【提供法人或者其他组织的营业执照；法人授权委托书及委托代理人身份证（法定代表人参加则需提供法定代表人身份证明书及法定代表人身份证）；自然人投标提供身份证明】</w:t>
            </w:r>
          </w:p>
          <w:p w14:paraId="6ACCD3B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2.具有良好的商业信誉和健全的财务会计制度；【提供下列材料之一：①提供近3年任意一年的年度财务审计报告；②提交投标截止时间前6个月内由投标人基本账户开户银行出具的银行资信证明（附开户许可证或基本存款账户信息）】</w:t>
            </w:r>
          </w:p>
          <w:p w14:paraId="1BCEC81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3.具有履行合同所必需的设备和专业技术能力；【提供承诺函，格式自拟】</w:t>
            </w:r>
          </w:p>
          <w:p w14:paraId="6F69EB14">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4.有依法缴纳税收和社会保障资金的良好记录；【提交投标截止时间前6个月内</w:t>
            </w:r>
            <w:r>
              <w:rPr>
                <w:rFonts w:hint="eastAsia"/>
                <w:b/>
                <w:bCs/>
                <w:color w:val="auto"/>
                <w:highlight w:val="none"/>
                <w:lang w:val="en-US" w:bidi="ar-SA"/>
              </w:rPr>
              <w:t>（不含开标当月）</w:t>
            </w:r>
            <w:r>
              <w:rPr>
                <w:rFonts w:hint="eastAsia"/>
                <w:color w:val="auto"/>
                <w:highlight w:val="none"/>
                <w:lang w:val="en-US" w:bidi="ar-SA"/>
              </w:rPr>
              <w:t>任意一个月的依法缴纳税收及社保的证明】</w:t>
            </w:r>
          </w:p>
          <w:p w14:paraId="50E8783C">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5.参加招标活动前三年内，在经营活动中没有重大违法记录；【提供承诺函，格式自拟】</w:t>
            </w:r>
          </w:p>
          <w:p w14:paraId="115D14D0">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6.法律、行政法规规定的其他条件：①通过信用中国网站和中国政府采购网查询相关主体信用记录，被列入失信被执行人、重大税收违法失信主体、政府采购严重违法失信行为记录名单的投标人（处罚期限尚未届满的），不得参与本项目的采购活动；（告知项，无需提供证明材料）</w:t>
            </w:r>
          </w:p>
          <w:p w14:paraId="7CB91781">
            <w:pPr>
              <w:pStyle w:val="7"/>
              <w:spacing w:line="360" w:lineRule="auto"/>
              <w:ind w:firstLine="480" w:firstLineChars="200"/>
              <w:rPr>
                <w:rFonts w:hint="eastAsia"/>
                <w:color w:val="auto"/>
                <w:highlight w:val="none"/>
                <w:lang w:val="en-US" w:bidi="ar-SA"/>
              </w:rPr>
            </w:pPr>
            <w:r>
              <w:rPr>
                <w:rFonts w:hint="eastAsia"/>
                <w:color w:val="auto"/>
                <w:highlight w:val="none"/>
                <w:lang w:val="en-US" w:bidi="ar-SA"/>
              </w:rPr>
              <w:t>②单位负责人为同一人或者存在直接控股、管理关系的不同投标人，不得参加同一合同项下的采购活动；（告知项，无需提供证明材料）</w:t>
            </w:r>
          </w:p>
          <w:p w14:paraId="794A1552">
            <w:pPr>
              <w:spacing w:line="360" w:lineRule="auto"/>
              <w:ind w:firstLine="480" w:firstLineChars="200"/>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cs="宋体"/>
                <w:color w:val="auto"/>
                <w:sz w:val="24"/>
                <w:szCs w:val="24"/>
                <w:highlight w:val="none"/>
                <w:lang w:val="en-US" w:eastAsia="zh-CN"/>
              </w:rPr>
              <w:t>7.</w:t>
            </w:r>
            <w:r>
              <w:rPr>
                <w:rFonts w:ascii="宋体" w:hAnsi="宋体" w:cs="宋体"/>
                <w:color w:val="auto"/>
                <w:sz w:val="24"/>
                <w:szCs w:val="24"/>
                <w:highlight w:val="none"/>
              </w:rPr>
              <w:t>本项目不接受联合体投标，且不允许转包、分包。【提供承诺函，格式自拟】</w:t>
            </w:r>
          </w:p>
          <w:p w14:paraId="2158FFC1">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default"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本项目的特定资格要求：</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0D9A7E3">
            <w:pPr>
              <w:pStyle w:val="7"/>
              <w:keepNext w:val="0"/>
              <w:keepLines w:val="0"/>
              <w:pageBreakBefore w:val="0"/>
              <w:numPr>
                <w:ilvl w:val="0"/>
                <w:numId w:val="0"/>
              </w:numPr>
              <w:kinsoku/>
              <w:overflowPunct/>
              <w:topLinePunct w:val="0"/>
              <w:autoSpaceDE/>
              <w:autoSpaceDN/>
              <w:bidi w:val="0"/>
              <w:spacing w:line="360" w:lineRule="auto"/>
              <w:ind w:firstLine="482" w:firstLineChars="200"/>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注：以上资格要求除告知项外，投标文件中提供复印件加盖公章，法人授权书及代理人身份证须提供原件（法人授权书原件允许装订入投标文件中），并对其真实性负责。</w:t>
            </w:r>
          </w:p>
        </w:tc>
      </w:tr>
      <w:tr w14:paraId="7E6A8A45">
        <w:tblPrEx>
          <w:tblCellMar>
            <w:top w:w="0" w:type="dxa"/>
            <w:left w:w="108" w:type="dxa"/>
            <w:bottom w:w="0" w:type="dxa"/>
            <w:right w:w="108" w:type="dxa"/>
          </w:tblCellMar>
        </w:tblPrEx>
        <w:trPr>
          <w:trHeight w:val="7318"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1FE27037">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57482FE">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62E28D03">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1CD31E1F">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0095CFD6">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jc w:val="left"/>
              <w:textAlignment w:val="auto"/>
              <w:rPr>
                <w:rFonts w:hint="eastAsia" w:ascii="宋体" w:hAnsi="宋体" w:eastAsia="宋体" w:cs="宋体"/>
                <w:color w:val="auto"/>
                <w:sz w:val="24"/>
                <w:highlight w:val="none"/>
                <w:lang w:eastAsia="zh-CN"/>
              </w:rPr>
            </w:pPr>
            <w:r>
              <w:rPr>
                <w:rFonts w:hint="eastAsia" w:ascii="宋体" w:hAnsi="宋体" w:eastAsia="宋体" w:cs="宋体"/>
                <w:b/>
                <w:bCs/>
                <w:color w:val="auto"/>
                <w:sz w:val="24"/>
                <w:highlight w:val="none"/>
                <w:lang w:eastAsia="zh-CN"/>
              </w:rPr>
              <w:t>投标保证金</w:t>
            </w:r>
            <w:r>
              <w:rPr>
                <w:rFonts w:hint="eastAsia" w:ascii="宋体" w:hAnsi="宋体" w:cs="宋体"/>
                <w:b/>
                <w:bCs/>
                <w:color w:val="auto"/>
                <w:sz w:val="24"/>
                <w:highlight w:val="none"/>
                <w:lang w:val="en-US" w:eastAsia="zh-CN"/>
              </w:rPr>
              <w:t>金额</w:t>
            </w:r>
            <w:r>
              <w:rPr>
                <w:rFonts w:hint="eastAsia" w:ascii="宋体" w:hAnsi="宋体" w:eastAsia="宋体" w:cs="宋体"/>
                <w:b/>
                <w:bCs/>
                <w:color w:val="auto"/>
                <w:sz w:val="24"/>
                <w:highlight w:val="none"/>
                <w:lang w:eastAsia="zh-CN"/>
              </w:rPr>
              <w:t>：</w:t>
            </w:r>
            <w:r>
              <w:rPr>
                <w:rFonts w:hint="eastAsia" w:ascii="宋体" w:hAnsi="宋体" w:cs="宋体"/>
                <w:color w:val="auto"/>
                <w:sz w:val="24"/>
                <w:highlight w:val="none"/>
                <w:lang w:val="en-US" w:eastAsia="zh-CN"/>
              </w:rPr>
              <w:t>人民币</w:t>
            </w:r>
            <w:r>
              <w:rPr>
                <w:rFonts w:hint="eastAsia" w:ascii="宋体" w:hAnsi="宋体" w:cs="宋体"/>
                <w:color w:val="auto"/>
                <w:sz w:val="24"/>
                <w:highlight w:val="none"/>
                <w:u w:val="single"/>
                <w:lang w:val="en-US" w:eastAsia="zh-CN"/>
              </w:rPr>
              <w:t>贰</w:t>
            </w:r>
            <w:r>
              <w:rPr>
                <w:rFonts w:hint="eastAsia" w:ascii="宋体" w:hAnsi="宋体" w:cs="宋体"/>
                <w:color w:val="auto"/>
                <w:sz w:val="24"/>
                <w:highlight w:val="none"/>
                <w:u w:val="none"/>
                <w:lang w:val="en-US" w:eastAsia="zh-CN"/>
              </w:rPr>
              <w:t>万</w:t>
            </w:r>
            <w:r>
              <w:rPr>
                <w:rFonts w:hint="eastAsia" w:ascii="宋体" w:hAnsi="宋体" w:eastAsia="宋体" w:cs="宋体"/>
                <w:color w:val="auto"/>
                <w:sz w:val="24"/>
                <w:highlight w:val="none"/>
                <w:lang w:eastAsia="zh-CN"/>
              </w:rPr>
              <w:t>元整（¥</w:t>
            </w:r>
            <w:r>
              <w:rPr>
                <w:rFonts w:hint="eastAsia" w:ascii="宋体" w:hAnsi="宋体" w:cs="宋体"/>
                <w:color w:val="auto"/>
                <w:sz w:val="24"/>
                <w:highlight w:val="none"/>
                <w:u w:val="single"/>
                <w:lang w:val="en-US" w:eastAsia="zh-CN"/>
              </w:rPr>
              <w:t>20000</w:t>
            </w:r>
            <w:r>
              <w:rPr>
                <w:rFonts w:hint="eastAsia" w:ascii="宋体" w:hAnsi="宋体" w:eastAsia="宋体" w:cs="宋体"/>
                <w:color w:val="auto"/>
                <w:sz w:val="24"/>
                <w:highlight w:val="none"/>
                <w:lang w:eastAsia="zh-CN"/>
              </w:rPr>
              <w:t>元）</w:t>
            </w:r>
          </w:p>
          <w:p w14:paraId="25C21A3B">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本项目投标保证金应当采用支票、汇票、本票、网上银行转账或金融机构、担保机构出具的保函等非现金形式足额交纳。</w:t>
            </w:r>
          </w:p>
          <w:p w14:paraId="41D8F9CB">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1.采用银行电汇、转账、网上银行转账形式：应在开标截止时间前将投标保证金交纳至指定账户中，投标保证金的交付时间以收款人银行实际到帐为准</w:t>
            </w:r>
          </w:p>
          <w:p w14:paraId="1AA6196E">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jc w:val="left"/>
              <w:textAlignment w:val="auto"/>
              <w:rPr>
                <w:rFonts w:hint="eastAsia" w:ascii="宋体" w:hAnsi="宋体" w:cs="宋体"/>
                <w:b w:val="0"/>
                <w:bCs w:val="0"/>
                <w:color w:val="auto"/>
                <w:sz w:val="24"/>
                <w:szCs w:val="24"/>
                <w:highlight w:val="none"/>
              </w:rPr>
            </w:pPr>
            <w:r>
              <w:rPr>
                <w:rFonts w:hint="eastAsia" w:ascii="宋体" w:hAnsi="宋体" w:cs="宋体"/>
                <w:b/>
                <w:bCs/>
                <w:color w:val="auto"/>
                <w:sz w:val="24"/>
                <w:szCs w:val="24"/>
                <w:highlight w:val="none"/>
              </w:rPr>
              <w:t>开户行：</w:t>
            </w:r>
            <w:r>
              <w:rPr>
                <w:rFonts w:hint="eastAsia" w:ascii="宋体" w:hAnsi="宋体" w:cs="宋体"/>
                <w:b w:val="0"/>
                <w:bCs w:val="0"/>
                <w:color w:val="auto"/>
                <w:sz w:val="24"/>
                <w:szCs w:val="24"/>
                <w:highlight w:val="none"/>
              </w:rPr>
              <w:t>投标人自行从系统选取</w:t>
            </w:r>
          </w:p>
          <w:p w14:paraId="2829BC03">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jc w:val="left"/>
              <w:textAlignment w:val="auto"/>
              <w:rPr>
                <w:rFonts w:hint="eastAsia" w:ascii="宋体" w:hAnsi="宋体" w:cs="宋体"/>
                <w:b w:val="0"/>
                <w:bCs w:val="0"/>
                <w:color w:val="auto"/>
                <w:sz w:val="24"/>
                <w:szCs w:val="24"/>
                <w:highlight w:val="none"/>
              </w:rPr>
            </w:pPr>
            <w:r>
              <w:rPr>
                <w:rFonts w:hint="eastAsia" w:ascii="宋体" w:hAnsi="宋体" w:cs="宋体"/>
                <w:b/>
                <w:bCs/>
                <w:color w:val="auto"/>
                <w:sz w:val="24"/>
                <w:szCs w:val="24"/>
                <w:highlight w:val="none"/>
              </w:rPr>
              <w:t>银行账号：</w:t>
            </w:r>
            <w:r>
              <w:rPr>
                <w:rFonts w:hint="eastAsia" w:ascii="宋体" w:hAnsi="宋体" w:cs="宋体"/>
                <w:b w:val="0"/>
                <w:bCs w:val="0"/>
                <w:color w:val="auto"/>
                <w:sz w:val="24"/>
                <w:szCs w:val="24"/>
                <w:highlight w:val="none"/>
              </w:rPr>
              <w:t>投标人自行从系统中生成</w:t>
            </w:r>
          </w:p>
          <w:p w14:paraId="3A3B832E">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备注：（1）本项目转账采用虚拟子账户方式网上交纳保证金的，投标人应当按照交易系统工作流程中保证金内容操作，在系统中获取保证金信息及账号，在规定的到账时间之前从投标人交易系统内填写的用户库中基本户银行账户一次性足额转账</w:t>
            </w:r>
            <w:r>
              <w:rPr>
                <w:rFonts w:hint="eastAsia" w:ascii="宋体" w:hAnsi="宋体" w:cs="宋体"/>
                <w:b w:val="0"/>
                <w:bCs w:val="0"/>
                <w:color w:val="auto"/>
                <w:sz w:val="24"/>
                <w:szCs w:val="24"/>
                <w:highlight w:val="none"/>
                <w:lang w:eastAsia="zh-CN"/>
              </w:rPr>
              <w:t>到</w:t>
            </w:r>
            <w:r>
              <w:rPr>
                <w:rFonts w:hint="eastAsia" w:ascii="宋体" w:hAnsi="宋体" w:cs="宋体"/>
                <w:b w:val="0"/>
                <w:bCs w:val="0"/>
                <w:color w:val="auto"/>
                <w:sz w:val="24"/>
                <w:szCs w:val="24"/>
                <w:highlight w:val="none"/>
              </w:rPr>
              <w:t>该账号中，未按照上述约定要求缴纳投标保证金的将视为无效，由投标人自行负责。</w:t>
            </w:r>
          </w:p>
          <w:p w14:paraId="50D66AC3">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（2）投标人应</w:t>
            </w:r>
            <w:r>
              <w:rPr>
                <w:rFonts w:hint="eastAsia" w:ascii="宋体" w:hAnsi="宋体" w:cs="宋体"/>
                <w:b w:val="0"/>
                <w:bCs w:val="0"/>
                <w:color w:val="auto"/>
                <w:sz w:val="24"/>
                <w:szCs w:val="24"/>
                <w:highlight w:val="none"/>
                <w:lang w:eastAsia="zh-CN"/>
              </w:rPr>
              <w:t>登录</w:t>
            </w:r>
            <w:r>
              <w:rPr>
                <w:rFonts w:hint="eastAsia" w:ascii="宋体" w:hAnsi="宋体" w:cs="宋体"/>
                <w:b w:val="0"/>
                <w:bCs w:val="0"/>
                <w:color w:val="auto"/>
                <w:sz w:val="24"/>
                <w:szCs w:val="24"/>
                <w:highlight w:val="none"/>
              </w:rPr>
              <w:t>上饶市阳光采购服务平台，仔细检查用户库中本单位的基本户银行账户是否填写正确和规范。账户不正确、不规范的单位，请尽快修改正确并完善，以免影响正常投标。</w:t>
            </w:r>
          </w:p>
          <w:p w14:paraId="7E7A775F">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（3）缴纳后投标人必须返回缴纳页面查询是否缴纳成功，投标资格以系统认定的为准。</w:t>
            </w:r>
          </w:p>
          <w:p w14:paraId="55B61B6E">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2、采用电子保函形式：</w:t>
            </w:r>
          </w:p>
          <w:p w14:paraId="13554039">
            <w:pPr>
              <w:keepNext w:val="0"/>
              <w:keepLines w:val="0"/>
              <w:pageBreakBefore w:val="0"/>
              <w:widowControl/>
              <w:kinsoku/>
              <w:wordWrap/>
              <w:overflowPunct/>
              <w:topLinePunct w:val="0"/>
              <w:autoSpaceDE/>
              <w:autoSpaceDN/>
              <w:bidi w:val="0"/>
              <w:adjustRightInd/>
              <w:snapToGrid w:val="0"/>
              <w:spacing w:before="48" w:beforeLines="20" w:after="48" w:afterLines="20" w:line="400" w:lineRule="exact"/>
              <w:ind w:right="-105" w:rightChars="-50"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采用电子保函的投标人可在上饶市阳光采购服务平台金融服务系统（网址：https://www.ygcgfwpt.com/epoint-financeplatform-web/finance/index ）内开具。</w:t>
            </w:r>
            <w:r>
              <w:rPr>
                <w:rFonts w:hint="eastAsia" w:ascii="宋体" w:hAnsi="宋体" w:cs="宋体"/>
                <w:b w:val="0"/>
                <w:bCs w:val="0"/>
                <w:color w:val="auto"/>
                <w:sz w:val="24"/>
                <w:szCs w:val="24"/>
                <w:highlight w:val="none"/>
                <w:lang w:val="en-US" w:eastAsia="zh-CN"/>
              </w:rPr>
              <w:t>投标人</w:t>
            </w:r>
            <w:r>
              <w:rPr>
                <w:rFonts w:hint="eastAsia" w:ascii="宋体" w:hAnsi="宋体" w:cs="宋体"/>
                <w:b w:val="0"/>
                <w:bCs w:val="0"/>
                <w:color w:val="auto"/>
                <w:sz w:val="24"/>
                <w:szCs w:val="24"/>
                <w:highlight w:val="none"/>
              </w:rPr>
              <w:t>应将电子保函的电子版打印附在</w:t>
            </w:r>
            <w:r>
              <w:rPr>
                <w:rFonts w:hint="eastAsia" w:ascii="宋体" w:hAnsi="宋体" w:cs="宋体"/>
                <w:b w:val="0"/>
                <w:bCs w:val="0"/>
                <w:color w:val="auto"/>
                <w:sz w:val="24"/>
                <w:szCs w:val="24"/>
                <w:highlight w:val="none"/>
                <w:lang w:val="en-US" w:eastAsia="zh-CN"/>
              </w:rPr>
              <w:t>投标</w:t>
            </w:r>
            <w:r>
              <w:rPr>
                <w:rFonts w:hint="eastAsia" w:ascii="宋体" w:hAnsi="宋体" w:cs="宋体"/>
                <w:b w:val="0"/>
                <w:bCs w:val="0"/>
                <w:color w:val="auto"/>
                <w:sz w:val="24"/>
                <w:szCs w:val="24"/>
                <w:highlight w:val="none"/>
              </w:rPr>
              <w:t>文件中，否则不予认可。（注：开具投标保函的保费应从投标人对公账户交纳。不同投标人委托同一单位或个人缴纳保费等</w:t>
            </w:r>
            <w:r>
              <w:rPr>
                <w:rFonts w:hint="eastAsia" w:ascii="宋体" w:hAnsi="宋体" w:cs="宋体"/>
                <w:b w:val="0"/>
                <w:bCs w:val="0"/>
                <w:color w:val="auto"/>
                <w:sz w:val="24"/>
                <w:szCs w:val="24"/>
                <w:highlight w:val="none"/>
                <w:lang w:eastAsia="zh-CN"/>
              </w:rPr>
              <w:t>依法</w:t>
            </w:r>
            <w:r>
              <w:rPr>
                <w:rFonts w:hint="eastAsia" w:ascii="宋体" w:hAnsi="宋体" w:cs="宋体"/>
                <w:b w:val="0"/>
                <w:bCs w:val="0"/>
                <w:color w:val="auto"/>
                <w:sz w:val="24"/>
                <w:szCs w:val="24"/>
                <w:highlight w:val="none"/>
              </w:rPr>
              <w:t>视为串通投标处理。）</w:t>
            </w:r>
          </w:p>
          <w:p w14:paraId="70AF37A7">
            <w:pPr>
              <w:keepNext w:val="0"/>
              <w:keepLines w:val="0"/>
              <w:pageBreakBefore w:val="0"/>
              <w:widowControl/>
              <w:kinsoku/>
              <w:wordWrap/>
              <w:overflowPunct/>
              <w:topLinePunct w:val="0"/>
              <w:autoSpaceDE/>
              <w:autoSpaceDN/>
              <w:bidi w:val="0"/>
              <w:adjustRightInd/>
              <w:snapToGrid w:val="0"/>
              <w:spacing w:beforeLines="20" w:afterLines="20" w:line="400" w:lineRule="exact"/>
              <w:ind w:right="-105" w:rightChars="-50" w:firstLine="480" w:firstLineChars="200"/>
              <w:jc w:val="left"/>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auto"/>
                <w:sz w:val="24"/>
                <w:szCs w:val="24"/>
                <w:highlight w:val="none"/>
              </w:rPr>
              <w:t>3、采用支票、汇票、本票等其他形式：投标文件中提供符合国家规定的相应凭证佐证。采用其他形式的原件须在开标截止前递交至开标现场。逾时不予接收，视为未提供。</w:t>
            </w:r>
          </w:p>
        </w:tc>
      </w:tr>
      <w:tr w14:paraId="60E4225A">
        <w:tblPrEx>
          <w:tblCellMar>
            <w:top w:w="0" w:type="dxa"/>
            <w:left w:w="108" w:type="dxa"/>
            <w:bottom w:w="0" w:type="dxa"/>
            <w:right w:w="108" w:type="dxa"/>
          </w:tblCellMar>
        </w:tblPrEx>
        <w:trPr>
          <w:trHeight w:val="317"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4B6287D4">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571A6894">
            <w:pPr>
              <w:keepNext w:val="0"/>
              <w:keepLines w:val="0"/>
              <w:pageBreakBefore w:val="0"/>
              <w:widowControl/>
              <w:kinsoku/>
              <w:wordWrap/>
              <w:overflowPunct/>
              <w:topLinePunct w:val="0"/>
              <w:autoSpaceDE/>
              <w:autoSpaceDN/>
              <w:bidi w:val="0"/>
              <w:adjustRightInd/>
              <w:snapToGrid w:val="0"/>
              <w:spacing w:beforeLines="20" w:afterLines="20" w:line="360" w:lineRule="auto"/>
              <w:ind w:right="118" w:rightChars="56"/>
              <w:jc w:val="left"/>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评标办法：</w:t>
            </w:r>
            <w:r>
              <w:rPr>
                <w:rFonts w:hint="eastAsia" w:ascii="宋体" w:hAnsi="宋体" w:eastAsia="宋体" w:cs="宋体"/>
                <w:i w:val="0"/>
                <w:iCs w:val="0"/>
                <w:color w:val="000000" w:themeColor="text1"/>
                <w:kern w:val="0"/>
                <w:sz w:val="24"/>
                <w:szCs w:val="24"/>
                <w:highlight w:val="none"/>
                <w:lang w:val="zh-CN" w:eastAsia="zh-CN" w:bidi="ar"/>
                <w14:textFill>
                  <w14:solidFill>
                    <w14:schemeClr w14:val="tx1"/>
                  </w14:solidFill>
                </w14:textFill>
              </w:rPr>
              <w:t>最低评标价法。</w:t>
            </w:r>
          </w:p>
        </w:tc>
      </w:tr>
      <w:tr w14:paraId="6EFFACB7">
        <w:tblPrEx>
          <w:tblCellMar>
            <w:top w:w="0" w:type="dxa"/>
            <w:left w:w="108" w:type="dxa"/>
            <w:bottom w:w="0" w:type="dxa"/>
            <w:right w:w="108" w:type="dxa"/>
          </w:tblCellMar>
        </w:tblPrEx>
        <w:trPr>
          <w:trHeight w:val="987"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0AF8C826">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2386CF47">
            <w:pPr>
              <w:pStyle w:val="7"/>
              <w:keepNext w:val="0"/>
              <w:keepLines w:val="0"/>
              <w:pageBreakBefore w:val="0"/>
              <w:kinsoku/>
              <w:wordWrap/>
              <w:overflowPunct/>
              <w:topLinePunct w:val="0"/>
              <w:autoSpaceDE/>
              <w:bidi w:val="0"/>
              <w:adjustRightInd/>
              <w:spacing w:line="440" w:lineRule="exac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服务时间与地点:</w:t>
            </w:r>
            <w:r>
              <w:rPr>
                <w:rFonts w:hint="eastAsia" w:ascii="宋体" w:hAnsi="宋体" w:cs="宋体"/>
                <w:b w:val="0"/>
                <w:bCs/>
                <w:color w:val="000000" w:themeColor="text1"/>
                <w:spacing w:val="4"/>
                <w:kern w:val="0"/>
                <w:sz w:val="24"/>
                <w:highlight w:val="none"/>
                <w:lang w:val="zh-CN"/>
                <w14:textFill>
                  <w14:solidFill>
                    <w14:schemeClr w14:val="tx1"/>
                  </w14:solidFill>
                </w14:textFill>
              </w:rPr>
              <w:t>以</w:t>
            </w:r>
            <w:r>
              <w:rPr>
                <w:rFonts w:hint="eastAsia" w:cs="宋体"/>
                <w:b w:val="0"/>
                <w:bCs/>
                <w:color w:val="000000" w:themeColor="text1"/>
                <w:spacing w:val="4"/>
                <w:kern w:val="0"/>
                <w:sz w:val="24"/>
                <w:highlight w:val="none"/>
                <w:lang w:val="en-US" w:eastAsia="zh-CN"/>
                <w14:textFill>
                  <w14:solidFill>
                    <w14:schemeClr w14:val="tx1"/>
                  </w14:solidFill>
                </w14:textFill>
              </w:rPr>
              <w:t>采购人</w:t>
            </w:r>
            <w:r>
              <w:rPr>
                <w:rFonts w:hint="eastAsia" w:ascii="宋体" w:hAnsi="宋体" w:cs="宋体"/>
                <w:b w:val="0"/>
                <w:bCs/>
                <w:color w:val="000000" w:themeColor="text1"/>
                <w:spacing w:val="4"/>
                <w:kern w:val="0"/>
                <w:sz w:val="24"/>
                <w:highlight w:val="none"/>
                <w:lang w:val="zh-CN"/>
                <w14:textFill>
                  <w14:solidFill>
                    <w14:schemeClr w14:val="tx1"/>
                  </w14:solidFill>
                </w14:textFill>
              </w:rPr>
              <w:t>通知的为准</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w:t>
            </w:r>
          </w:p>
          <w:p w14:paraId="50D94DD1">
            <w:pPr>
              <w:pStyle w:val="7"/>
              <w:keepNext w:val="0"/>
              <w:keepLines w:val="0"/>
              <w:pageBreakBefore w:val="0"/>
              <w:kinsoku/>
              <w:wordWrap/>
              <w:overflowPunct/>
              <w:topLinePunct w:val="0"/>
              <w:autoSpaceDE/>
              <w:bidi w:val="0"/>
              <w:adjustRightInd/>
              <w:spacing w:line="440" w:lineRule="exac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合同履行期限:</w:t>
            </w:r>
            <w:r>
              <w:rPr>
                <w:rFonts w:hint="eastAsia" w:cs="宋体"/>
                <w:b/>
                <w:bCs/>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cs="宋体"/>
                <w:b w:val="0"/>
                <w:bCs w:val="0"/>
                <w:color w:val="auto"/>
                <w:sz w:val="24"/>
                <w:szCs w:val="24"/>
                <w:highlight w:val="none"/>
                <w:u w:val="single"/>
                <w:lang w:val="en-US" w:eastAsia="zh-CN"/>
              </w:rPr>
              <w:t>30</w:t>
            </w:r>
            <w:r>
              <w:rPr>
                <w:rFonts w:hint="eastAsia" w:ascii="宋体" w:hAnsi="宋体" w:cs="宋体"/>
                <w:b w:val="0"/>
                <w:bCs w:val="0"/>
                <w:color w:val="auto"/>
                <w:sz w:val="24"/>
                <w:szCs w:val="24"/>
                <w:highlight w:val="none"/>
                <w:lang w:val="zh-CN" w:eastAsia="zh-CN"/>
              </w:rPr>
              <w:t>天。</w:t>
            </w:r>
          </w:p>
        </w:tc>
      </w:tr>
      <w:tr w14:paraId="4B9581CE">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5744D006">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06E910C9">
            <w:pPr>
              <w:keepNext w:val="0"/>
              <w:keepLines w:val="0"/>
              <w:pageBreakBefore w:val="0"/>
              <w:kinsoku/>
              <w:wordWrap/>
              <w:overflowPunct/>
              <w:topLinePunct w:val="0"/>
              <w:autoSpaceDE/>
              <w:autoSpaceDN w:val="0"/>
              <w:bidi w:val="0"/>
              <w:adjustRightInd/>
              <w:snapToGrid/>
              <w:spacing w:line="440" w:lineRule="exact"/>
              <w:textAlignment w:val="auto"/>
              <w:rPr>
                <w:rFonts w:hint="eastAsia" w:ascii="宋体" w:hAnsi="宋体" w:eastAsia="宋体" w:cs="宋体"/>
                <w:b/>
                <w:bCs/>
                <w:color w:val="000000" w:themeColor="text1"/>
                <w:kern w:val="2"/>
                <w:sz w:val="24"/>
                <w:szCs w:val="24"/>
                <w:highlight w:val="none"/>
                <w:lang w:val="en-US" w:eastAsia="zh-CN" w:bidi="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zh-CN"/>
                <w14:textFill>
                  <w14:solidFill>
                    <w14:schemeClr w14:val="tx1"/>
                  </w14:solidFill>
                </w14:textFill>
              </w:rPr>
              <w:t>付款及支付方式</w:t>
            </w:r>
          </w:p>
          <w:p w14:paraId="2457CB0A">
            <w:pPr>
              <w:keepNext w:val="0"/>
              <w:keepLines w:val="0"/>
              <w:pageBreakBefore w:val="0"/>
              <w:widowControl/>
              <w:kinsoku/>
              <w:wordWrap/>
              <w:overflowPunct/>
              <w:topLinePunct w:val="0"/>
              <w:autoSpaceDE/>
              <w:autoSpaceDN/>
              <w:bidi w:val="0"/>
              <w:adjustRightInd/>
              <w:snapToGrid w:val="0"/>
              <w:spacing w:beforeLines="20" w:afterLines="20" w:line="440" w:lineRule="exact"/>
              <w:ind w:right="-105" w:rightChars="-50"/>
              <w:jc w:val="left"/>
              <w:textAlignment w:val="auto"/>
              <w:outlineLvl w:val="9"/>
              <w:rPr>
                <w:rFonts w:hint="eastAsia" w:ascii="宋体" w:hAnsi="宋体" w:eastAsia="宋体" w:cs="宋体"/>
                <w:b w:val="0"/>
                <w:bCs w:val="0"/>
                <w:i w:val="0"/>
                <w:iCs w:val="0"/>
                <w:color w:val="auto"/>
                <w:kern w:val="0"/>
                <w:sz w:val="24"/>
                <w:szCs w:val="24"/>
                <w:highlight w:val="none"/>
                <w:lang w:val="en-US" w:eastAsia="zh-CN" w:bidi="ar"/>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付款方式</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val="0"/>
                <w:bCs w:val="0"/>
                <w:i w:val="0"/>
                <w:iCs w:val="0"/>
                <w:color w:val="auto"/>
                <w:kern w:val="0"/>
                <w:sz w:val="24"/>
                <w:szCs w:val="24"/>
                <w:highlight w:val="none"/>
                <w:lang w:val="en-US" w:eastAsia="zh-CN" w:bidi="ar"/>
              </w:rPr>
              <w:t>完成合同签订，支付合同总价款的20%作为预付款;货物(产品)进场并验收合格，支付至合同总价款的50%</w:t>
            </w:r>
            <w:r>
              <w:rPr>
                <w:rFonts w:hint="eastAsia" w:ascii="宋体" w:hAnsi="宋体" w:cs="宋体"/>
                <w:b w:val="0"/>
                <w:bCs w:val="0"/>
                <w:i w:val="0"/>
                <w:iCs w:val="0"/>
                <w:color w:val="auto"/>
                <w:kern w:val="0"/>
                <w:sz w:val="24"/>
                <w:szCs w:val="24"/>
                <w:highlight w:val="none"/>
                <w:lang w:val="en-US" w:eastAsia="zh-CN" w:bidi="ar"/>
              </w:rPr>
              <w:t>；</w:t>
            </w:r>
            <w:r>
              <w:rPr>
                <w:rFonts w:hint="eastAsia" w:ascii="宋体" w:hAnsi="宋体" w:eastAsia="宋体" w:cs="宋体"/>
                <w:b w:val="0"/>
                <w:bCs w:val="0"/>
                <w:i w:val="0"/>
                <w:iCs w:val="0"/>
                <w:color w:val="auto"/>
                <w:kern w:val="0"/>
                <w:sz w:val="24"/>
                <w:szCs w:val="24"/>
                <w:highlight w:val="none"/>
                <w:lang w:val="en-US" w:eastAsia="zh-CN" w:bidi="ar"/>
              </w:rPr>
              <w:t>货物(产品)安装调试完成，支付至合同总价款的97%</w:t>
            </w:r>
            <w:r>
              <w:rPr>
                <w:rFonts w:hint="eastAsia" w:ascii="宋体" w:hAnsi="宋体" w:cs="宋体"/>
                <w:b w:val="0"/>
                <w:bCs w:val="0"/>
                <w:i w:val="0"/>
                <w:iCs w:val="0"/>
                <w:color w:val="auto"/>
                <w:kern w:val="0"/>
                <w:sz w:val="24"/>
                <w:szCs w:val="24"/>
                <w:highlight w:val="none"/>
                <w:lang w:val="en-US" w:eastAsia="zh-CN" w:bidi="ar"/>
              </w:rPr>
              <w:t>；</w:t>
            </w:r>
            <w:r>
              <w:rPr>
                <w:rFonts w:hint="eastAsia" w:ascii="宋体" w:hAnsi="宋体" w:eastAsia="宋体" w:cs="宋体"/>
                <w:b w:val="0"/>
                <w:bCs w:val="0"/>
                <w:i w:val="0"/>
                <w:iCs w:val="0"/>
                <w:color w:val="auto"/>
                <w:kern w:val="0"/>
                <w:sz w:val="24"/>
                <w:szCs w:val="24"/>
                <w:highlight w:val="none"/>
                <w:lang w:val="en-US" w:eastAsia="zh-CN" w:bidi="ar"/>
              </w:rPr>
              <w:t>3%</w:t>
            </w:r>
            <w:r>
              <w:rPr>
                <w:rFonts w:hint="eastAsia" w:ascii="宋体" w:hAnsi="宋体" w:cs="宋体"/>
                <w:b w:val="0"/>
                <w:bCs w:val="0"/>
                <w:i w:val="0"/>
                <w:iCs w:val="0"/>
                <w:color w:val="auto"/>
                <w:kern w:val="0"/>
                <w:sz w:val="24"/>
                <w:szCs w:val="24"/>
                <w:highlight w:val="none"/>
                <w:lang w:val="en-US" w:eastAsia="zh-CN" w:bidi="ar"/>
              </w:rPr>
              <w:t>的</w:t>
            </w:r>
            <w:r>
              <w:rPr>
                <w:rFonts w:hint="eastAsia" w:ascii="宋体" w:hAnsi="宋体" w:eastAsia="宋体" w:cs="宋体"/>
                <w:b w:val="0"/>
                <w:bCs w:val="0"/>
                <w:i w:val="0"/>
                <w:iCs w:val="0"/>
                <w:color w:val="auto"/>
                <w:kern w:val="0"/>
                <w:sz w:val="24"/>
                <w:szCs w:val="24"/>
                <w:highlight w:val="none"/>
                <w:lang w:val="en-US" w:eastAsia="zh-CN" w:bidi="ar"/>
              </w:rPr>
              <w:t>质保金待货物(产品)质保期满后一次性支付。</w:t>
            </w:r>
          </w:p>
          <w:p w14:paraId="242FD0B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highlight w:val="none"/>
                <w:lang w:val="en-US" w:eastAsia="zh-CN"/>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支付方式</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包含但不限于银行转账、现金、银行承兑汇票、商业票据等支付方式。</w:t>
            </w:r>
          </w:p>
        </w:tc>
      </w:tr>
      <w:tr w14:paraId="0102C44E">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24358C91">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79623741">
            <w:pPr>
              <w:pStyle w:val="52"/>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履约保证金：</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中标人</w:t>
            </w:r>
            <w:r>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t>在接到中标通知书后签订合同前30天内向采购人提交合同金额的10%(或等同价值的银行保函)作为履约保证金，由</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中标人</w:t>
            </w:r>
            <w:r>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t>的公司账户转入采购人的指定账户。</w:t>
            </w:r>
          </w:p>
          <w:p w14:paraId="7AEABEE9">
            <w:pPr>
              <w:pStyle w:val="7"/>
              <w:keepNext w:val="0"/>
              <w:keepLines w:val="0"/>
              <w:pageBreakBefore w:val="0"/>
              <w:kinsoku/>
              <w:wordWrap/>
              <w:overflowPunct/>
              <w:topLinePunct w:val="0"/>
              <w:autoSpaceDE/>
              <w:bidi w:val="0"/>
              <w:adjustRightInd/>
              <w:spacing w:line="440" w:lineRule="exact"/>
              <w:jc w:val="both"/>
              <w:textAlignment w:val="auto"/>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履约保证金退回方式：</w:t>
            </w:r>
            <w:r>
              <w:rPr>
                <w:rFonts w:hint="eastAsia" w:asciiTheme="minorEastAsia" w:hAnsiTheme="minorEastAsia" w:eastAsiaTheme="minorEastAsia" w:cstheme="minorEastAsia"/>
                <w:b w:val="0"/>
                <w:bCs w:val="0"/>
                <w:color w:val="000000" w:themeColor="text1"/>
                <w:kern w:val="2"/>
                <w:sz w:val="24"/>
                <w:szCs w:val="24"/>
                <w:highlight w:val="none"/>
                <w:lang w:val="en-US" w:eastAsia="zh-CN" w:bidi="ar-SA"/>
                <w14:textFill>
                  <w14:solidFill>
                    <w14:schemeClr w14:val="tx1"/>
                  </w14:solidFill>
                </w14:textFill>
              </w:rPr>
              <w:t>合同履约完成并验收合格后28日内，由采购人一次性无息返还。若中标人提交银行履约保函，保函期限至本项目合同履约完成并验收合格后28日内为止。</w:t>
            </w:r>
          </w:p>
        </w:tc>
      </w:tr>
      <w:tr w14:paraId="36B6B19D">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3AA0DE0A">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672D12F1">
            <w:pPr>
              <w:keepNext w:val="0"/>
              <w:keepLines w:val="0"/>
              <w:pageBreakBefore w:val="0"/>
              <w:widowControl/>
              <w:kinsoku/>
              <w:wordWrap/>
              <w:overflowPunct/>
              <w:topLinePunct w:val="0"/>
              <w:autoSpaceDE/>
              <w:autoSpaceDN/>
              <w:bidi w:val="0"/>
              <w:adjustRightInd/>
              <w:snapToGrid w:val="0"/>
              <w:spacing w:beforeLines="20" w:afterLines="20" w:line="440" w:lineRule="exact"/>
              <w:ind w:right="-105" w:rightChars="-50"/>
              <w:jc w:val="left"/>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4"/>
                <w:kern w:val="2"/>
                <w:sz w:val="24"/>
                <w:szCs w:val="24"/>
                <w:highlight w:val="none"/>
                <w:lang w:val="zh-CN" w:eastAsia="zh-CN" w:bidi="zh-CN"/>
                <w14:textFill>
                  <w14:solidFill>
                    <w14:schemeClr w14:val="tx1"/>
                  </w14:solidFill>
                </w14:textFill>
              </w:rPr>
              <w:t>1.</w:t>
            </w:r>
            <w:r>
              <w:rPr>
                <w:rFonts w:hint="eastAsia" w:ascii="宋体" w:hAnsi="宋体" w:eastAsia="宋体" w:cs="宋体"/>
                <w:b/>
                <w:bCs/>
                <w:color w:val="000000" w:themeColor="text1"/>
                <w:spacing w:val="4"/>
                <w:kern w:val="2"/>
                <w:sz w:val="24"/>
                <w:szCs w:val="24"/>
                <w:highlight w:val="none"/>
                <w:lang w:val="zh-CN" w:bidi="zh-CN"/>
                <w14:textFill>
                  <w14:solidFill>
                    <w14:schemeClr w14:val="tx1"/>
                  </w14:solidFill>
                </w14:textFill>
              </w:rPr>
              <w:t>代理服务费</w:t>
            </w:r>
            <w:r>
              <w:rPr>
                <w:rFonts w:hint="eastAsia" w:ascii="宋体" w:hAnsi="宋体" w:eastAsia="宋体" w:cs="宋体"/>
                <w:b/>
                <w:bCs/>
                <w:color w:val="000000" w:themeColor="text1"/>
                <w:spacing w:val="4"/>
                <w:sz w:val="24"/>
                <w:szCs w:val="24"/>
                <w:highlight w:val="none"/>
                <w:lang w:val="zh-CN" w:bidi="zh-CN"/>
                <w14:textFill>
                  <w14:solidFill>
                    <w14:schemeClr w14:val="tx1"/>
                  </w14:solidFill>
                </w14:textFill>
              </w:rPr>
              <w:t>：</w:t>
            </w:r>
            <w:r>
              <w:rPr>
                <w:rFonts w:hint="eastAsia" w:ascii="宋体" w:hAnsi="宋体" w:eastAsia="宋体" w:cs="宋体"/>
                <w:color w:val="auto"/>
                <w:spacing w:val="4"/>
                <w:sz w:val="24"/>
                <w:szCs w:val="24"/>
                <w:highlight w:val="none"/>
                <w:shd w:val="clear" w:color="auto" w:fill="auto"/>
                <w:lang w:val="zh-CN"/>
              </w:rPr>
              <w:t>向中标人收取中标服务费，请各投标人在报价时充分考虑这一因素，具体收费标准:参照“</w:t>
            </w:r>
            <w:r>
              <w:rPr>
                <w:rFonts w:hint="eastAsia" w:ascii="宋体" w:hAnsi="宋体" w:eastAsia="宋体" w:cs="宋体"/>
                <w:color w:val="auto"/>
                <w:spacing w:val="4"/>
                <w:sz w:val="24"/>
                <w:szCs w:val="24"/>
                <w:highlight w:val="none"/>
                <w:shd w:val="clear" w:color="auto" w:fill="auto"/>
                <w:lang w:val="en-US" w:eastAsia="zh-CN"/>
              </w:rPr>
              <w:t>计价格[2002]1980号文</w:t>
            </w:r>
            <w:r>
              <w:rPr>
                <w:rFonts w:hint="eastAsia" w:ascii="宋体" w:hAnsi="宋体" w:eastAsia="宋体" w:cs="宋体"/>
                <w:color w:val="auto"/>
                <w:spacing w:val="4"/>
                <w:sz w:val="24"/>
                <w:szCs w:val="24"/>
                <w:highlight w:val="none"/>
                <w:shd w:val="clear" w:color="auto" w:fill="auto"/>
                <w:lang w:val="zh-CN"/>
              </w:rPr>
              <w:t>”</w:t>
            </w:r>
            <w:r>
              <w:rPr>
                <w:rFonts w:hint="eastAsia" w:ascii="宋体" w:hAnsi="宋体" w:eastAsia="宋体" w:cs="宋体"/>
                <w:color w:val="auto"/>
                <w:spacing w:val="4"/>
                <w:sz w:val="24"/>
                <w:szCs w:val="24"/>
                <w:highlight w:val="none"/>
                <w:shd w:val="clear" w:color="auto" w:fill="auto"/>
                <w:lang w:val="en-US"/>
              </w:rPr>
              <w:t>和</w:t>
            </w:r>
            <w:r>
              <w:rPr>
                <w:rFonts w:hint="eastAsia" w:ascii="宋体" w:hAnsi="宋体" w:eastAsia="宋体" w:cs="宋体"/>
                <w:color w:val="auto"/>
                <w:spacing w:val="4"/>
                <w:sz w:val="24"/>
                <w:szCs w:val="24"/>
                <w:highlight w:val="none"/>
                <w:shd w:val="clear" w:color="auto" w:fill="auto"/>
                <w:lang w:val="zh-CN"/>
              </w:rPr>
              <w:t>“发改价格〔</w:t>
            </w:r>
            <w:r>
              <w:rPr>
                <w:rFonts w:hint="eastAsia" w:ascii="宋体" w:hAnsi="宋体" w:eastAsia="宋体" w:cs="宋体"/>
                <w:color w:val="auto"/>
                <w:spacing w:val="4"/>
                <w:sz w:val="24"/>
                <w:szCs w:val="24"/>
                <w:highlight w:val="none"/>
                <w:shd w:val="clear" w:color="auto" w:fill="auto"/>
                <w:lang w:val="en-US"/>
              </w:rPr>
              <w:t>2011</w:t>
            </w:r>
            <w:r>
              <w:rPr>
                <w:rFonts w:hint="eastAsia" w:ascii="宋体" w:hAnsi="宋体" w:eastAsia="宋体" w:cs="宋体"/>
                <w:color w:val="auto"/>
                <w:spacing w:val="4"/>
                <w:sz w:val="24"/>
                <w:szCs w:val="24"/>
                <w:highlight w:val="none"/>
                <w:shd w:val="clear" w:color="auto" w:fill="auto"/>
                <w:lang w:val="zh-CN"/>
              </w:rPr>
              <w:t>〕534号文”有关规定，在领取中标通知书前由中标人支付。</w:t>
            </w:r>
          </w:p>
        </w:tc>
      </w:tr>
      <w:tr w14:paraId="7683510F">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3BCD92A9">
            <w:pPr>
              <w:spacing w:line="360" w:lineRule="auto"/>
              <w:jc w:val="center"/>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11</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38E387DF">
            <w:pPr>
              <w:keepNext w:val="0"/>
              <w:keepLines w:val="0"/>
              <w:pageBreakBefore w:val="0"/>
              <w:widowControl/>
              <w:numPr>
                <w:ilvl w:val="0"/>
                <w:numId w:val="0"/>
              </w:numPr>
              <w:kinsoku/>
              <w:wordWrap/>
              <w:overflowPunct/>
              <w:topLinePunct w:val="0"/>
              <w:autoSpaceDE/>
              <w:bidi w:val="0"/>
              <w:adjustRightInd/>
              <w:snapToGrid w:val="0"/>
              <w:spacing w:before="48" w:beforeLines="20" w:after="48" w:afterLines="20" w:line="440" w:lineRule="exact"/>
              <w:ind w:left="0" w:leftChars="0" w:right="-105" w:rightChars="-50" w:firstLine="0" w:firstLineChars="0"/>
              <w:jc w:val="left"/>
              <w:textAlignment w:val="auto"/>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spacing w:val="4"/>
                <w:sz w:val="24"/>
                <w:szCs w:val="24"/>
                <w:highlight w:val="none"/>
                <w:lang w:val="zh-CN" w:eastAsia="zh-CN" w:bidi="zh-CN"/>
                <w14:textFill>
                  <w14:solidFill>
                    <w14:schemeClr w14:val="tx1"/>
                  </w14:solidFill>
                </w14:textFill>
              </w:rPr>
              <w:t>中标人确定方式：投标文件满足招标文件全部实质性要求，评标委员会按照投标报价由低到高顺序，推荐前三名中标候选人，并确定投标报价最低的投标人为排名第一的中标候选人，投标报价相同的，由</w:t>
            </w:r>
            <w:r>
              <w:rPr>
                <w:rFonts w:hint="eastAsia" w:ascii="宋体" w:hAnsi="宋体" w:cs="宋体"/>
                <w:b/>
                <w:bCs/>
                <w:color w:val="000000" w:themeColor="text1"/>
                <w:spacing w:val="4"/>
                <w:sz w:val="24"/>
                <w:szCs w:val="24"/>
                <w:highlight w:val="none"/>
                <w:lang w:val="zh-CN" w:eastAsia="zh-CN" w:bidi="zh-CN"/>
                <w14:textFill>
                  <w14:solidFill>
                    <w14:schemeClr w14:val="tx1"/>
                  </w14:solidFill>
                </w14:textFill>
              </w:rPr>
              <w:t>采购人</w:t>
            </w:r>
            <w:r>
              <w:rPr>
                <w:rFonts w:hint="eastAsia" w:ascii="宋体" w:hAnsi="宋体" w:eastAsia="宋体" w:cs="宋体"/>
                <w:b/>
                <w:bCs/>
                <w:color w:val="000000" w:themeColor="text1"/>
                <w:spacing w:val="4"/>
                <w:sz w:val="24"/>
                <w:szCs w:val="24"/>
                <w:highlight w:val="none"/>
                <w:lang w:val="zh-CN" w:eastAsia="zh-CN" w:bidi="zh-CN"/>
                <w14:textFill>
                  <w14:solidFill>
                    <w14:schemeClr w14:val="tx1"/>
                  </w14:solidFill>
                </w14:textFill>
              </w:rPr>
              <w:t>随机抽取确定排序。如排名第一的中标候选人未能及时履约，</w:t>
            </w:r>
            <w:r>
              <w:rPr>
                <w:rFonts w:hint="eastAsia" w:ascii="宋体" w:hAnsi="宋体" w:cs="宋体"/>
                <w:b/>
                <w:bCs/>
                <w:color w:val="000000" w:themeColor="text1"/>
                <w:spacing w:val="4"/>
                <w:sz w:val="24"/>
                <w:szCs w:val="24"/>
                <w:highlight w:val="none"/>
                <w:lang w:val="zh-CN" w:eastAsia="zh-CN" w:bidi="zh-CN"/>
                <w14:textFill>
                  <w14:solidFill>
                    <w14:schemeClr w14:val="tx1"/>
                  </w14:solidFill>
                </w14:textFill>
              </w:rPr>
              <w:t>采购人</w:t>
            </w:r>
            <w:r>
              <w:rPr>
                <w:rFonts w:hint="eastAsia" w:ascii="宋体" w:hAnsi="宋体" w:eastAsia="宋体" w:cs="宋体"/>
                <w:b/>
                <w:bCs/>
                <w:color w:val="000000" w:themeColor="text1"/>
                <w:spacing w:val="4"/>
                <w:sz w:val="24"/>
                <w:szCs w:val="24"/>
                <w:highlight w:val="none"/>
                <w:lang w:val="zh-CN" w:eastAsia="zh-CN" w:bidi="zh-CN"/>
                <w14:textFill>
                  <w14:solidFill>
                    <w14:schemeClr w14:val="tx1"/>
                  </w14:solidFill>
                </w14:textFill>
              </w:rPr>
              <w:t>有权取消其中标候选人资格并上报主管部门；在此情况下</w:t>
            </w:r>
            <w:r>
              <w:rPr>
                <w:rFonts w:hint="eastAsia" w:ascii="宋体" w:hAnsi="宋体" w:cs="宋体"/>
                <w:b/>
                <w:bCs/>
                <w:color w:val="000000" w:themeColor="text1"/>
                <w:spacing w:val="4"/>
                <w:sz w:val="24"/>
                <w:szCs w:val="24"/>
                <w:highlight w:val="none"/>
                <w:lang w:val="zh-CN" w:eastAsia="zh-CN" w:bidi="zh-CN"/>
                <w14:textFill>
                  <w14:solidFill>
                    <w14:schemeClr w14:val="tx1"/>
                  </w14:solidFill>
                </w14:textFill>
              </w:rPr>
              <w:t>采购人</w:t>
            </w:r>
            <w:r>
              <w:rPr>
                <w:rFonts w:hint="eastAsia" w:ascii="宋体" w:hAnsi="宋体" w:eastAsia="宋体" w:cs="宋体"/>
                <w:b/>
                <w:bCs/>
                <w:color w:val="000000" w:themeColor="text1"/>
                <w:spacing w:val="4"/>
                <w:sz w:val="24"/>
                <w:szCs w:val="24"/>
                <w:highlight w:val="none"/>
                <w:lang w:val="zh-CN" w:eastAsia="zh-CN" w:bidi="zh-CN"/>
                <w14:textFill>
                  <w14:solidFill>
                    <w14:schemeClr w14:val="tx1"/>
                  </w14:solidFill>
                </w14:textFill>
              </w:rPr>
              <w:t>可以以排名第一的中标候选人的中标价与排名第二的中标候选人签订采购合同，以此类推；</w:t>
            </w:r>
            <w:r>
              <w:rPr>
                <w:rFonts w:hint="eastAsia" w:ascii="宋体" w:hAnsi="宋体" w:cs="宋体"/>
                <w:b/>
                <w:bCs/>
                <w:color w:val="000000" w:themeColor="text1"/>
                <w:spacing w:val="4"/>
                <w:sz w:val="24"/>
                <w:szCs w:val="24"/>
                <w:highlight w:val="none"/>
                <w:lang w:val="zh-CN" w:eastAsia="zh-CN" w:bidi="zh-CN"/>
                <w14:textFill>
                  <w14:solidFill>
                    <w14:schemeClr w14:val="tx1"/>
                  </w14:solidFill>
                </w14:textFill>
              </w:rPr>
              <w:t>采购人</w:t>
            </w:r>
            <w:r>
              <w:rPr>
                <w:rFonts w:hint="eastAsia" w:ascii="宋体" w:hAnsi="宋体" w:eastAsia="宋体" w:cs="宋体"/>
                <w:b/>
                <w:bCs/>
                <w:color w:val="000000" w:themeColor="text1"/>
                <w:spacing w:val="4"/>
                <w:sz w:val="24"/>
                <w:szCs w:val="24"/>
                <w:highlight w:val="none"/>
                <w:lang w:val="zh-CN" w:eastAsia="zh-CN" w:bidi="zh-CN"/>
                <w14:textFill>
                  <w14:solidFill>
                    <w14:schemeClr w14:val="tx1"/>
                  </w14:solidFill>
                </w14:textFill>
              </w:rPr>
              <w:t>亦可重新组织招标。</w:t>
            </w:r>
          </w:p>
        </w:tc>
      </w:tr>
      <w:tr w14:paraId="322871EE">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3F0AD03F">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38355C2E">
            <w:pPr>
              <w:pStyle w:val="7"/>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bidi="ar"/>
                <w14:textFill>
                  <w14:solidFill>
                    <w14:schemeClr w14:val="tx1"/>
                  </w14:solidFill>
                </w14:textFill>
              </w:rPr>
              <w:t>投标文件：</w:t>
            </w:r>
            <w:r>
              <w:rPr>
                <w:rFonts w:hint="eastAsia" w:ascii="宋体" w:hAnsi="宋体" w:cs="宋体"/>
                <w:b w:val="0"/>
                <w:bCs w:val="0"/>
                <w:color w:val="000000" w:themeColor="text1"/>
                <w:kern w:val="0"/>
                <w:sz w:val="24"/>
                <w:szCs w:val="24"/>
                <w:highlight w:val="none"/>
                <w:lang w:val="en-US" w:eastAsia="zh-CN" w:bidi="ar"/>
                <w14:textFill>
                  <w14:solidFill>
                    <w14:schemeClr w14:val="tx1"/>
                  </w14:solidFill>
                </w14:textFill>
              </w:rPr>
              <w:t>纸质投标文件（</w:t>
            </w:r>
            <w:r>
              <w:rPr>
                <w:rFonts w:hint="eastAsia" w:ascii="宋体" w:hAnsi="宋体" w:cs="宋体"/>
                <w:b w:val="0"/>
                <w:bCs w:val="0"/>
                <w:color w:val="000000" w:themeColor="text1"/>
                <w:kern w:val="0"/>
                <w:sz w:val="24"/>
                <w:szCs w:val="24"/>
                <w:highlight w:val="none"/>
                <w:lang w:bidi="ar"/>
                <w14:textFill>
                  <w14:solidFill>
                    <w14:schemeClr w14:val="tx1"/>
                  </w14:solidFill>
                </w14:textFill>
              </w:rPr>
              <w:t>正本一份，副本三本</w:t>
            </w:r>
            <w:r>
              <w:rPr>
                <w:rFonts w:hint="eastAsia" w:ascii="宋体" w:hAnsi="宋体" w:cs="宋体"/>
                <w:b w:val="0"/>
                <w:bCs w:val="0"/>
                <w:color w:val="000000" w:themeColor="text1"/>
                <w:kern w:val="0"/>
                <w:sz w:val="24"/>
                <w:szCs w:val="24"/>
                <w:highlight w:val="none"/>
                <w:lang w:val="en-US" w:eastAsia="zh-CN" w:bidi="ar"/>
                <w14:textFill>
                  <w14:solidFill>
                    <w14:schemeClr w14:val="tx1"/>
                  </w14:solidFill>
                </w14:textFill>
              </w:rPr>
              <w:t>）</w:t>
            </w:r>
            <w:r>
              <w:rPr>
                <w:rFonts w:hint="eastAsia" w:eastAsia="宋体" w:cs="宋体"/>
                <w:b w:val="0"/>
                <w:bCs w:val="0"/>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每套纸质投标文件须清楚地标明“正本”或“副本”，一旦正本和副本不符，以正本为准。</w:t>
            </w:r>
          </w:p>
        </w:tc>
      </w:tr>
      <w:tr w14:paraId="485DAF47">
        <w:tblPrEx>
          <w:tblCellMar>
            <w:top w:w="0" w:type="dxa"/>
            <w:left w:w="108" w:type="dxa"/>
            <w:bottom w:w="0" w:type="dxa"/>
            <w:right w:w="108" w:type="dxa"/>
          </w:tblCellMar>
        </w:tblPrEx>
        <w:trPr>
          <w:trHeight w:val="23" w:hRule="atLeast"/>
          <w:jc w:val="center"/>
        </w:trPr>
        <w:tc>
          <w:tcPr>
            <w:tcW w:w="722" w:type="dxa"/>
            <w:tcBorders>
              <w:top w:val="single" w:color="auto" w:sz="8" w:space="0"/>
              <w:left w:val="single" w:color="auto" w:sz="8" w:space="0"/>
              <w:bottom w:val="single" w:color="auto" w:sz="8" w:space="0"/>
              <w:right w:val="single" w:color="auto" w:sz="8" w:space="0"/>
            </w:tcBorders>
            <w:noWrap w:val="0"/>
            <w:vAlign w:val="center"/>
          </w:tcPr>
          <w:p w14:paraId="0240F601">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13</w:t>
            </w:r>
          </w:p>
        </w:tc>
        <w:tc>
          <w:tcPr>
            <w:tcW w:w="9534" w:type="dxa"/>
            <w:tcBorders>
              <w:top w:val="single" w:color="auto" w:sz="8" w:space="0"/>
              <w:left w:val="single" w:color="auto" w:sz="8" w:space="0"/>
              <w:bottom w:val="single" w:color="auto" w:sz="8" w:space="0"/>
              <w:right w:val="single" w:color="auto" w:sz="8" w:space="0"/>
            </w:tcBorders>
            <w:noWrap w:val="0"/>
            <w:vAlign w:val="center"/>
          </w:tcPr>
          <w:p w14:paraId="598C07F0">
            <w:pPr>
              <w:keepNext w:val="0"/>
              <w:keepLines w:val="0"/>
              <w:pageBreakBefore w:val="0"/>
              <w:widowControl/>
              <w:kinsoku/>
              <w:wordWrap/>
              <w:overflowPunct/>
              <w:topLinePunct w:val="0"/>
              <w:autoSpaceDE/>
              <w:autoSpaceDN/>
              <w:bidi w:val="0"/>
              <w:adjustRightInd/>
              <w:snapToGrid w:val="0"/>
              <w:spacing w:beforeLines="20" w:afterLines="20" w:line="440" w:lineRule="exact"/>
              <w:ind w:right="-105" w:rightChars="-50"/>
              <w:jc w:val="left"/>
              <w:textAlignment w:val="auto"/>
              <w:outlineLvl w:val="9"/>
              <w:rPr>
                <w:rFonts w:hint="eastAsia"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i w:val="0"/>
                <w:iCs w:val="0"/>
                <w:color w:val="auto"/>
                <w:kern w:val="0"/>
                <w:sz w:val="24"/>
                <w:szCs w:val="24"/>
                <w:highlight w:val="none"/>
                <w:lang w:val="en-US" w:eastAsia="zh-CN" w:bidi="ar"/>
              </w:rPr>
              <w:t>电子文档：可编辑的电子投标文件、电子投标文件扫描件各壹份，提供不加密投标文件的U盘存储</w:t>
            </w:r>
            <w:r>
              <w:rPr>
                <w:rFonts w:hint="eastAsia" w:ascii="宋体" w:hAnsi="宋体" w:eastAsia="宋体" w:cs="宋体"/>
                <w:b w:val="0"/>
                <w:bCs w:val="0"/>
                <w:i w:val="0"/>
                <w:iCs w:val="0"/>
                <w:color w:val="auto"/>
                <w:kern w:val="0"/>
                <w:sz w:val="24"/>
                <w:szCs w:val="24"/>
                <w:highlight w:val="none"/>
                <w:lang w:val="en-US" w:eastAsia="zh-CN" w:bidi="ar"/>
              </w:rPr>
              <w:t>。如未提交电子档投标文件的不得作为未实质性响应招标文件条款否决其投标。</w:t>
            </w:r>
          </w:p>
        </w:tc>
      </w:tr>
    </w:tbl>
    <w:p w14:paraId="62404320">
      <w:pPr>
        <w:numPr>
          <w:ilvl w:val="0"/>
          <w:numId w:val="0"/>
        </w:numPr>
        <w:spacing w:line="360" w:lineRule="auto"/>
        <w:jc w:val="center"/>
        <w:outlineLvl w:val="9"/>
        <w:rPr>
          <w:rFonts w:hint="eastAsia" w:ascii="宋体" w:hAnsi="宋体" w:eastAsia="宋体" w:cs="宋体"/>
          <w:b/>
          <w:bCs/>
          <w:i w:val="0"/>
          <w:iCs w:val="0"/>
          <w:color w:val="000000" w:themeColor="text1"/>
          <w:sz w:val="28"/>
          <w:szCs w:val="24"/>
          <w:highlight w:val="none"/>
          <w:lang w:val="en-US" w:eastAsia="zh-CN"/>
          <w14:textFill>
            <w14:solidFill>
              <w14:schemeClr w14:val="tx1"/>
            </w14:solidFill>
          </w14:textFill>
        </w:rPr>
      </w:pPr>
    </w:p>
    <w:p w14:paraId="046C0BFC">
      <w:pPr>
        <w:numPr>
          <w:ilvl w:val="0"/>
          <w:numId w:val="0"/>
        </w:numPr>
        <w:spacing w:line="360" w:lineRule="auto"/>
        <w:jc w:val="center"/>
        <w:outlineLvl w:val="9"/>
        <w:rPr>
          <w:rFonts w:hint="eastAsia" w:ascii="宋体" w:hAnsi="宋体" w:eastAsia="宋体" w:cs="宋体"/>
          <w:b/>
          <w:bCs/>
          <w:i w:val="0"/>
          <w:iCs w:val="0"/>
          <w:color w:val="000000" w:themeColor="text1"/>
          <w:sz w:val="28"/>
          <w:szCs w:val="24"/>
          <w:highlight w:val="none"/>
          <w:lang w:val="en-US" w:eastAsia="zh-CN"/>
          <w14:textFill>
            <w14:solidFill>
              <w14:schemeClr w14:val="tx1"/>
            </w14:solidFill>
          </w14:textFill>
        </w:rPr>
      </w:pPr>
    </w:p>
    <w:p w14:paraId="53FDEE8C">
      <w:pPr>
        <w:numPr>
          <w:ilvl w:val="0"/>
          <w:numId w:val="0"/>
        </w:numPr>
        <w:spacing w:line="360" w:lineRule="auto"/>
        <w:jc w:val="center"/>
        <w:outlineLvl w:val="9"/>
        <w:rPr>
          <w:rFonts w:hint="eastAsia" w:ascii="宋体" w:hAnsi="宋体" w:eastAsia="宋体" w:cs="宋体"/>
          <w:b/>
          <w:bCs/>
          <w:i w:val="0"/>
          <w:iCs w:val="0"/>
          <w:color w:val="000000" w:themeColor="text1"/>
          <w:sz w:val="28"/>
          <w:szCs w:val="24"/>
          <w:highlight w:val="none"/>
          <w:lang w:val="en-US" w:eastAsia="zh-CN"/>
          <w14:textFill>
            <w14:solidFill>
              <w14:schemeClr w14:val="tx1"/>
            </w14:solidFill>
          </w14:textFill>
        </w:rPr>
      </w:pPr>
    </w:p>
    <w:p w14:paraId="03895C4F">
      <w:pPr>
        <w:numPr>
          <w:ilvl w:val="0"/>
          <w:numId w:val="0"/>
        </w:numPr>
        <w:spacing w:line="360" w:lineRule="auto"/>
        <w:jc w:val="center"/>
        <w:outlineLvl w:val="9"/>
        <w:rPr>
          <w:rFonts w:hint="eastAsia" w:ascii="宋体" w:hAnsi="宋体" w:eastAsia="宋体" w:cs="宋体"/>
          <w:b/>
          <w:bCs/>
          <w:i w:val="0"/>
          <w:iCs w:val="0"/>
          <w:color w:val="000000" w:themeColor="text1"/>
          <w:sz w:val="28"/>
          <w:szCs w:val="24"/>
          <w:highlight w:val="none"/>
          <w:lang w:val="en-US" w:eastAsia="zh-CN"/>
          <w14:textFill>
            <w14:solidFill>
              <w14:schemeClr w14:val="tx1"/>
            </w14:solidFill>
          </w14:textFill>
        </w:rPr>
      </w:pPr>
    </w:p>
    <w:p w14:paraId="2B08C2CA">
      <w:pPr>
        <w:keepNext w:val="0"/>
        <w:pageBreakBefore w:val="0"/>
        <w:numPr>
          <w:ilvl w:val="0"/>
          <w:numId w:val="0"/>
        </w:numPr>
        <w:overflowPunct/>
        <w:autoSpaceDE/>
        <w:bidi w:val="0"/>
        <w:spacing w:line="500" w:lineRule="exact"/>
        <w:jc w:val="center"/>
        <w:textAlignment w:val="auto"/>
        <w:outlineLvl w:val="9"/>
        <w:rPr>
          <w:rFonts w:hint="eastAsia" w:ascii="宋体" w:hAnsi="宋体" w:eastAsia="宋体" w:cs="宋体"/>
          <w:b/>
          <w:bCs/>
          <w:i w:val="0"/>
          <w:iCs w:val="0"/>
          <w:color w:val="000000" w:themeColor="text1"/>
          <w:sz w:val="32"/>
          <w:szCs w:val="32"/>
          <w:highlight w:val="none"/>
          <w14:textFill>
            <w14:solidFill>
              <w14:schemeClr w14:val="tx1"/>
            </w14:solidFill>
          </w14:textFill>
        </w:rPr>
      </w:pPr>
      <w:r>
        <w:rPr>
          <w:rFonts w:hint="eastAsia" w:ascii="宋体" w:hAnsi="宋体" w:eastAsia="宋体" w:cs="宋体"/>
          <w:b/>
          <w:bCs/>
          <w:i w:val="0"/>
          <w:iCs w:val="0"/>
          <w:color w:val="000000" w:themeColor="text1"/>
          <w:sz w:val="28"/>
          <w:szCs w:val="24"/>
          <w:highlight w:val="none"/>
          <w:lang w:val="en-US" w:eastAsia="zh-CN"/>
          <w14:textFill>
            <w14:solidFill>
              <w14:schemeClr w14:val="tx1"/>
            </w14:solidFill>
          </w14:textFill>
        </w:rPr>
        <w:t>二、投标人须知</w:t>
      </w:r>
    </w:p>
    <w:p w14:paraId="530965FA">
      <w:pPr>
        <w:keepNext w:val="0"/>
        <w:keepLines w:val="0"/>
        <w:pageBreakBefore w:val="0"/>
        <w:overflowPunct/>
        <w:topLinePunct w:val="0"/>
        <w:autoSpaceDE/>
        <w:autoSpaceDN/>
        <w:bidi w:val="0"/>
        <w:spacing w:before="67" w:line="500" w:lineRule="exact"/>
        <w:jc w:val="center"/>
        <w:textAlignment w:val="auto"/>
        <w:outlineLvl w:val="9"/>
        <w:rPr>
          <w:rFonts w:hint="eastAsia" w:ascii="宋体" w:hAnsi="宋体" w:eastAsia="宋体" w:cs="宋体"/>
          <w:b/>
          <w:bCs/>
          <w:i w:val="0"/>
          <w:iCs w:val="0"/>
          <w:color w:val="000000" w:themeColor="text1"/>
          <w:sz w:val="28"/>
          <w:szCs w:val="28"/>
          <w:highlight w:val="none"/>
          <w14:textFill>
            <w14:solidFill>
              <w14:schemeClr w14:val="tx1"/>
            </w14:solidFill>
          </w14:textFill>
        </w:rPr>
      </w:pPr>
      <w:r>
        <w:rPr>
          <w:rFonts w:hint="eastAsia" w:ascii="宋体" w:hAnsi="宋体" w:eastAsia="宋体" w:cs="宋体"/>
          <w:b/>
          <w:bCs/>
          <w:i w:val="0"/>
          <w:iCs w:val="0"/>
          <w:color w:val="000000" w:themeColor="text1"/>
          <w:sz w:val="28"/>
          <w:szCs w:val="28"/>
          <w:highlight w:val="none"/>
          <w14:textFill>
            <w14:solidFill>
              <w14:schemeClr w14:val="tx1"/>
            </w14:solidFill>
          </w14:textFill>
        </w:rPr>
        <w:t>（一）总则</w:t>
      </w:r>
    </w:p>
    <w:p w14:paraId="1083DC22">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1.说明 </w:t>
      </w:r>
    </w:p>
    <w:p w14:paraId="0002DA24">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1.1 </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上饶市城投建工集团有限公司</w:t>
      </w:r>
    </w:p>
    <w:p w14:paraId="64481F56">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1.2 招标代理机构为</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上饶市城投工程管理咨询有限公司</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034D4DAB">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2.合格的</w:t>
      </w:r>
      <w:r>
        <w:rPr>
          <w:rFonts w:hint="eastAsia" w:ascii="宋体" w:hAnsi="宋体" w:cs="宋体"/>
          <w:b/>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 </w:t>
      </w:r>
    </w:p>
    <w:p w14:paraId="60E520A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2.1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的资格条件：详见“</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投标邀请</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1851BA69">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2.2 联合体投标 </w:t>
      </w:r>
    </w:p>
    <w:p w14:paraId="5DDE0243">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2.2.1 是否接受联合体投标：详见“</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投标邀请</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04090887">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3.投标费用 </w:t>
      </w:r>
    </w:p>
    <w:p w14:paraId="12E2BE80">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3.1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应承担所有</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参与投标的相关费用</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，不论投标的结果如何，</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招标代理机构</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在任何情况下均无义务和责任承担这些费用。 </w:t>
      </w:r>
    </w:p>
    <w:p w14:paraId="5CDD7109">
      <w:pPr>
        <w:pStyle w:val="7"/>
        <w:keepNext w:val="0"/>
        <w:pageBreakBefore w:val="0"/>
        <w:overflowPunct/>
        <w:autoSpaceDE/>
        <w:bidi w:val="0"/>
        <w:spacing w:line="500" w:lineRule="exact"/>
        <w:ind w:firstLine="482" w:firstLineChars="20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w:t>
      </w:r>
      <w:r>
        <w:rPr>
          <w:rFonts w:hint="eastAsia"/>
          <w:b/>
          <w:bCs/>
          <w:color w:val="000000" w:themeColor="text1"/>
          <w:highlight w:val="none"/>
          <w14:textFill>
            <w14:solidFill>
              <w14:schemeClr w14:val="tx1"/>
            </w14:solidFill>
          </w14:textFill>
        </w:rPr>
        <w:t>. 保密</w:t>
      </w:r>
    </w:p>
    <w:p w14:paraId="66F8DB12">
      <w:pPr>
        <w:pStyle w:val="7"/>
        <w:keepNext w:val="0"/>
        <w:pageBreakBefore w:val="0"/>
        <w:overflowPunct/>
        <w:autoSpaceDE/>
        <w:bidi w:val="0"/>
        <w:spacing w:line="500" w:lineRule="exact"/>
        <w:ind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.1参与招标投标活动的各方应对招标文件和投标文件中的商业和技术等秘密保密，违者应对由此造成的后果承担法律责任。</w:t>
      </w:r>
    </w:p>
    <w:p w14:paraId="4B6CDA88">
      <w:pPr>
        <w:pStyle w:val="7"/>
        <w:keepNext w:val="0"/>
        <w:pageBreakBefore w:val="0"/>
        <w:overflowPunct/>
        <w:autoSpaceDE/>
        <w:bidi w:val="0"/>
        <w:spacing w:line="500" w:lineRule="exact"/>
        <w:ind w:firstLine="482" w:firstLineChars="20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5</w:t>
      </w:r>
      <w:r>
        <w:rPr>
          <w:rFonts w:hint="eastAsia"/>
          <w:b/>
          <w:bCs/>
          <w:color w:val="000000" w:themeColor="text1"/>
          <w:highlight w:val="none"/>
          <w14:textFill>
            <w14:solidFill>
              <w14:schemeClr w14:val="tx1"/>
            </w14:solidFill>
          </w14:textFill>
        </w:rPr>
        <w:t>．组织现场考察或者召开答疑会</w:t>
      </w:r>
    </w:p>
    <w:p w14:paraId="6FE73EC8">
      <w:pPr>
        <w:pStyle w:val="7"/>
        <w:keepNext w:val="0"/>
        <w:pageBreakBefore w:val="0"/>
        <w:overflowPunct/>
        <w:autoSpaceDE/>
        <w:bidi w:val="0"/>
        <w:spacing w:line="500" w:lineRule="exact"/>
        <w:ind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招标代理</w:t>
      </w:r>
      <w:r>
        <w:rPr>
          <w:rFonts w:hint="eastAsia"/>
          <w:color w:val="000000" w:themeColor="text1"/>
          <w:highlight w:val="none"/>
          <w14:textFill>
            <w14:solidFill>
              <w14:schemeClr w14:val="tx1"/>
            </w14:solidFill>
          </w14:textFill>
        </w:rPr>
        <w:t>机构可以在招标文件提供期限截止后，组织已获取招标文件的潜在</w:t>
      </w:r>
      <w:r>
        <w:rPr>
          <w:rFonts w:hint="eastAsia"/>
          <w:color w:val="000000" w:themeColor="text1"/>
          <w:highlight w:val="none"/>
          <w:lang w:eastAsia="zh-CN"/>
          <w14:textFill>
            <w14:solidFill>
              <w14:schemeClr w14:val="tx1"/>
            </w14:solidFill>
          </w14:textFill>
        </w:rPr>
        <w:t>投标人</w:t>
      </w:r>
      <w:r>
        <w:rPr>
          <w:rFonts w:hint="eastAsia"/>
          <w:color w:val="000000" w:themeColor="text1"/>
          <w:highlight w:val="none"/>
          <w14:textFill>
            <w14:solidFill>
              <w14:schemeClr w14:val="tx1"/>
            </w14:solidFill>
          </w14:textFill>
        </w:rPr>
        <w:t>现场考察或者召开开标前答疑会。</w:t>
      </w:r>
    </w:p>
    <w:p w14:paraId="10E4288C">
      <w:pPr>
        <w:pStyle w:val="7"/>
        <w:keepNext w:val="0"/>
        <w:pageBreakBefore w:val="0"/>
        <w:overflowPunct/>
        <w:autoSpaceDE/>
        <w:bidi w:val="0"/>
        <w:spacing w:line="500" w:lineRule="exact"/>
        <w:ind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.2获取招标文件的潜在</w:t>
      </w:r>
      <w:r>
        <w:rPr>
          <w:rFonts w:hint="eastAsia"/>
          <w:color w:val="000000" w:themeColor="text1"/>
          <w:highlight w:val="none"/>
          <w:lang w:eastAsia="zh-CN"/>
          <w14:textFill>
            <w14:solidFill>
              <w14:schemeClr w14:val="tx1"/>
            </w14:solidFill>
          </w14:textFill>
        </w:rPr>
        <w:t>投标人</w:t>
      </w:r>
      <w:r>
        <w:rPr>
          <w:rFonts w:hint="eastAsia"/>
          <w:color w:val="000000" w:themeColor="text1"/>
          <w:highlight w:val="none"/>
          <w14:textFill>
            <w14:solidFill>
              <w14:schemeClr w14:val="tx1"/>
            </w14:solidFill>
          </w14:textFill>
        </w:rPr>
        <w:t>应按招标文件规定参加现场考察或者答疑会；如不参加，其风险由其自行承担。</w:t>
      </w:r>
    </w:p>
    <w:p w14:paraId="4066A842">
      <w:pPr>
        <w:pStyle w:val="7"/>
        <w:keepNext w:val="0"/>
        <w:pageBreakBefore w:val="0"/>
        <w:overflowPunct/>
        <w:autoSpaceDE/>
        <w:bidi w:val="0"/>
        <w:spacing w:line="500" w:lineRule="exact"/>
        <w:ind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.3潜在</w:t>
      </w:r>
      <w:r>
        <w:rPr>
          <w:rFonts w:hint="eastAsia"/>
          <w:color w:val="000000" w:themeColor="text1"/>
          <w:highlight w:val="none"/>
          <w:lang w:eastAsia="zh-CN"/>
          <w14:textFill>
            <w14:solidFill>
              <w14:schemeClr w14:val="tx1"/>
            </w14:solidFill>
          </w14:textFill>
        </w:rPr>
        <w:t>投标人</w:t>
      </w:r>
      <w:r>
        <w:rPr>
          <w:rFonts w:hint="eastAsia"/>
          <w:color w:val="000000" w:themeColor="text1"/>
          <w:highlight w:val="none"/>
          <w14:textFill>
            <w14:solidFill>
              <w14:schemeClr w14:val="tx1"/>
            </w14:solidFill>
          </w14:textFill>
        </w:rPr>
        <w:t>现场考察或者参加答疑会的费用由自己承担，现场考察期间所发生的人身伤害及财产损失由自己负责。</w:t>
      </w:r>
    </w:p>
    <w:p w14:paraId="6BB93AB5">
      <w:pPr>
        <w:pStyle w:val="7"/>
        <w:keepNext w:val="0"/>
        <w:pageBreakBefore w:val="0"/>
        <w:overflowPunct/>
        <w:autoSpaceDE/>
        <w:bidi w:val="0"/>
        <w:spacing w:line="500" w:lineRule="exact"/>
        <w:ind w:firstLine="48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.4</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或者</w:t>
      </w:r>
      <w:r>
        <w:rPr>
          <w:rFonts w:hint="eastAsia"/>
          <w:color w:val="000000" w:themeColor="text1"/>
          <w:highlight w:val="none"/>
          <w:lang w:eastAsia="zh-CN"/>
          <w14:textFill>
            <w14:solidFill>
              <w14:schemeClr w14:val="tx1"/>
            </w14:solidFill>
          </w14:textFill>
        </w:rPr>
        <w:t>招标代理</w:t>
      </w:r>
      <w:r>
        <w:rPr>
          <w:rFonts w:hint="eastAsia"/>
          <w:color w:val="000000" w:themeColor="text1"/>
          <w:highlight w:val="none"/>
          <w14:textFill>
            <w14:solidFill>
              <w14:schemeClr w14:val="tx1"/>
            </w14:solidFill>
          </w14:textFill>
        </w:rPr>
        <w:t>机构不对</w:t>
      </w:r>
      <w:r>
        <w:rPr>
          <w:rFonts w:hint="eastAsia"/>
          <w:color w:val="000000" w:themeColor="text1"/>
          <w:highlight w:val="none"/>
          <w:lang w:eastAsia="zh-CN"/>
          <w14:textFill>
            <w14:solidFill>
              <w14:schemeClr w14:val="tx1"/>
            </w14:solidFill>
          </w14:textFill>
        </w:rPr>
        <w:t>投标人</w:t>
      </w:r>
      <w:r>
        <w:rPr>
          <w:rFonts w:hint="eastAsia"/>
          <w:color w:val="000000" w:themeColor="text1"/>
          <w:highlight w:val="none"/>
          <w14:textFill>
            <w14:solidFill>
              <w14:schemeClr w14:val="tx1"/>
            </w14:solidFill>
          </w14:textFill>
        </w:rPr>
        <w:t>据此而做出的推论、理解和结论负责。</w:t>
      </w:r>
      <w:r>
        <w:rPr>
          <w:rFonts w:hint="eastAsia"/>
          <w:color w:val="000000" w:themeColor="text1"/>
          <w:highlight w:val="none"/>
          <w:lang w:eastAsia="zh-CN"/>
          <w14:textFill>
            <w14:solidFill>
              <w14:schemeClr w14:val="tx1"/>
            </w14:solidFill>
          </w14:textFill>
        </w:rPr>
        <w:t>投标人</w:t>
      </w:r>
      <w:r>
        <w:rPr>
          <w:rFonts w:hint="eastAsia"/>
          <w:color w:val="000000" w:themeColor="text1"/>
          <w:highlight w:val="none"/>
          <w14:textFill>
            <w14:solidFill>
              <w14:schemeClr w14:val="tx1"/>
            </w14:solidFill>
          </w14:textFill>
        </w:rPr>
        <w:t>一旦中标，不得以任何借口，提出额外补偿，或延长合同期限的要求。</w:t>
      </w:r>
    </w:p>
    <w:p w14:paraId="0A3B18B6">
      <w:pPr>
        <w:keepNext w:val="0"/>
        <w:keepLines w:val="0"/>
        <w:pageBreakBefore w:val="0"/>
        <w:overflowPunct/>
        <w:topLinePunct w:val="0"/>
        <w:autoSpaceDE/>
        <w:autoSpaceDN/>
        <w:bidi w:val="0"/>
        <w:spacing w:before="67" w:line="500" w:lineRule="exact"/>
        <w:jc w:val="center"/>
        <w:textAlignment w:val="auto"/>
        <w:outlineLvl w:val="9"/>
        <w:rPr>
          <w:rFonts w:hint="eastAsia" w:ascii="宋体" w:hAnsi="宋体" w:eastAsia="宋体" w:cs="宋体"/>
          <w:b/>
          <w:bCs/>
          <w:i w:val="0"/>
          <w:iCs w:val="0"/>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i w:val="0"/>
          <w:iCs w:val="0"/>
          <w:color w:val="000000" w:themeColor="text1"/>
          <w:sz w:val="28"/>
          <w:szCs w:val="28"/>
          <w:highlight w:val="none"/>
          <w14:textFill>
            <w14:solidFill>
              <w14:schemeClr w14:val="tx1"/>
            </w14:solidFill>
          </w14:textFill>
        </w:rPr>
        <w:t>（二）招标</w:t>
      </w:r>
      <w:r>
        <w:rPr>
          <w:rFonts w:hint="eastAsia" w:ascii="宋体" w:hAnsi="宋体" w:eastAsia="宋体" w:cs="宋体"/>
          <w:b/>
          <w:bCs/>
          <w:i w:val="0"/>
          <w:iCs w:val="0"/>
          <w:color w:val="000000" w:themeColor="text1"/>
          <w:sz w:val="28"/>
          <w:szCs w:val="28"/>
          <w:highlight w:val="none"/>
          <w:lang w:val="en-US" w:eastAsia="zh-CN"/>
          <w14:textFill>
            <w14:solidFill>
              <w14:schemeClr w14:val="tx1"/>
            </w14:solidFill>
          </w14:textFill>
        </w:rPr>
        <w:t>文件</w:t>
      </w:r>
    </w:p>
    <w:p w14:paraId="5FD0BA0B">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.招标文件的构成 </w:t>
      </w:r>
    </w:p>
    <w:p w14:paraId="54FFA93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招标文件共</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五</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章，各章内容如下：</w:t>
      </w:r>
    </w:p>
    <w:p w14:paraId="18E2534B">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第一章 </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投标邀请</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p>
    <w:p w14:paraId="6E4250F5">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第二章 </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须知及前附表；</w:t>
      </w:r>
    </w:p>
    <w:p w14:paraId="0EF78466">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第三章 </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技术参数、要求及商务条款</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 </w:t>
      </w:r>
    </w:p>
    <w:p w14:paraId="2335B0F7">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第四章 </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采购合同</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p>
    <w:p w14:paraId="53215B34">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第五章 投标文件</w:t>
      </w:r>
    </w:p>
    <w:p w14:paraId="0EFC7568">
      <w:pPr>
        <w:keepNext w:val="0"/>
        <w:keepLines w:val="0"/>
        <w:pageBreakBefore w:val="0"/>
        <w:overflowPunct/>
        <w:topLinePunct w:val="0"/>
        <w:autoSpaceDE/>
        <w:autoSpaceDN/>
        <w:bidi w:val="0"/>
        <w:spacing w:before="67" w:line="500" w:lineRule="exact"/>
        <w:ind w:firstLine="480" w:firstLineChars="200"/>
        <w:jc w:val="left"/>
        <w:textAlignment w:val="auto"/>
        <w:outlineLvl w:val="9"/>
        <w:rPr>
          <w:rFonts w:hint="eastAsia" w:ascii="宋体" w:hAnsi="宋体" w:eastAsia="宋体" w:cs="宋体"/>
          <w:b w:val="0"/>
          <w:bCs w:val="0"/>
          <w:i w:val="0"/>
          <w:iCs w:val="0"/>
          <w:color w:val="000000" w:themeColor="text1"/>
          <w:sz w:val="24"/>
          <w:szCs w:val="24"/>
          <w:highlight w:val="none"/>
          <w14:textFill>
            <w14:solidFill>
              <w14:schemeClr w14:val="tx1"/>
            </w14:solidFill>
          </w14:textFill>
        </w:rPr>
      </w:pPr>
      <w:r>
        <w:rPr>
          <w:rFonts w:hint="eastAsia" w:ascii="宋体" w:hAnsi="宋体" w:cs="宋体"/>
          <w:b w:val="0"/>
          <w:bCs w:val="0"/>
          <w:i w:val="0"/>
          <w:iCs w:val="0"/>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.2</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招标代理</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机构在提交投标文件截止时间前对招标文件所作的澄清或者修改，构成招标文件的组成部分。</w:t>
      </w:r>
    </w:p>
    <w:p w14:paraId="6A0BAA8C">
      <w:pPr>
        <w:keepNext w:val="0"/>
        <w:keepLines w:val="0"/>
        <w:pageBreakBefore w:val="0"/>
        <w:overflowPunct/>
        <w:topLinePunct w:val="0"/>
        <w:autoSpaceDE/>
        <w:autoSpaceDN/>
        <w:bidi w:val="0"/>
        <w:spacing w:before="67" w:line="500" w:lineRule="exact"/>
        <w:ind w:firstLine="482" w:firstLineChars="200"/>
        <w:jc w:val="left"/>
        <w:textAlignment w:val="auto"/>
        <w:outlineLvl w:val="9"/>
        <w:rPr>
          <w:rFonts w:hint="eastAsia" w:ascii="宋体" w:hAnsi="宋体" w:eastAsia="宋体" w:cs="宋体"/>
          <w:b/>
          <w:bCs/>
          <w:i w:val="0"/>
          <w:iCs w:val="0"/>
          <w:color w:val="000000" w:themeColor="text1"/>
          <w:sz w:val="24"/>
          <w:szCs w:val="24"/>
          <w:highlight w:val="none"/>
          <w14:textFill>
            <w14:solidFill>
              <w14:schemeClr w14:val="tx1"/>
            </w14:solidFill>
          </w14:textFill>
        </w:rPr>
      </w:pPr>
      <w:r>
        <w:rPr>
          <w:rFonts w:hint="eastAsia" w:ascii="宋体" w:hAnsi="宋体" w:cs="宋体"/>
          <w:b/>
          <w:bCs/>
          <w:i w:val="0"/>
          <w:iCs w:val="0"/>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highlight w:val="none"/>
          <w14:textFill>
            <w14:solidFill>
              <w14:schemeClr w14:val="tx1"/>
            </w14:solidFill>
          </w14:textFill>
        </w:rPr>
        <w:t>．偏离与实质性响应</w:t>
      </w:r>
    </w:p>
    <w:p w14:paraId="44799236">
      <w:pPr>
        <w:keepNext w:val="0"/>
        <w:keepLines w:val="0"/>
        <w:pageBreakBefore w:val="0"/>
        <w:overflowPunct/>
        <w:topLinePunct w:val="0"/>
        <w:autoSpaceDE/>
        <w:autoSpaceDN/>
        <w:bidi w:val="0"/>
        <w:spacing w:before="67" w:line="500" w:lineRule="exact"/>
        <w:ind w:firstLine="480" w:firstLineChars="200"/>
        <w:jc w:val="left"/>
        <w:textAlignment w:val="auto"/>
        <w:outlineLvl w:val="9"/>
        <w:rPr>
          <w:rFonts w:hint="eastAsia" w:ascii="宋体" w:hAnsi="宋体" w:eastAsia="宋体" w:cs="宋体"/>
          <w:b w:val="0"/>
          <w:bCs w:val="0"/>
          <w:i w:val="0"/>
          <w:iCs w:val="0"/>
          <w:color w:val="000000" w:themeColor="text1"/>
          <w:sz w:val="24"/>
          <w:szCs w:val="24"/>
          <w:highlight w:val="none"/>
          <w14:textFill>
            <w14:solidFill>
              <w14:schemeClr w14:val="tx1"/>
            </w14:solidFill>
          </w14:textFill>
        </w:rPr>
      </w:pPr>
      <w:r>
        <w:rPr>
          <w:rFonts w:hint="eastAsia" w:ascii="宋体" w:hAnsi="宋体" w:cs="宋体"/>
          <w:b w:val="0"/>
          <w:bCs w:val="0"/>
          <w:i w:val="0"/>
          <w:iCs w:val="0"/>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.1</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应当按照招标文件的要求编制投标文件。投标文件应当对招标文件提出的要求和条件作出明确响应。</w:t>
      </w:r>
    </w:p>
    <w:p w14:paraId="22A825B2">
      <w:pPr>
        <w:keepNext w:val="0"/>
        <w:keepLines w:val="0"/>
        <w:pageBreakBefore w:val="0"/>
        <w:overflowPunct/>
        <w:topLinePunct w:val="0"/>
        <w:autoSpaceDE/>
        <w:autoSpaceDN/>
        <w:bidi w:val="0"/>
        <w:spacing w:before="67" w:line="500" w:lineRule="exact"/>
        <w:ind w:firstLine="482" w:firstLineChars="200"/>
        <w:jc w:val="left"/>
        <w:textAlignment w:val="auto"/>
        <w:outlineLvl w:val="9"/>
        <w:rPr>
          <w:rFonts w:hint="eastAsia" w:ascii="宋体" w:hAnsi="宋体" w:eastAsia="宋体" w:cs="宋体"/>
          <w:b/>
          <w:bCs/>
          <w:i w:val="0"/>
          <w:iCs w:val="0"/>
          <w:color w:val="000000" w:themeColor="text1"/>
          <w:sz w:val="24"/>
          <w:szCs w:val="24"/>
          <w:highlight w:val="none"/>
          <w14:textFill>
            <w14:solidFill>
              <w14:schemeClr w14:val="tx1"/>
            </w14:solidFill>
          </w14:textFill>
        </w:rPr>
      </w:pPr>
      <w:r>
        <w:rPr>
          <w:rFonts w:hint="eastAsia" w:ascii="宋体" w:hAnsi="宋体" w:cs="宋体"/>
          <w:b/>
          <w:bCs/>
          <w:i w:val="0"/>
          <w:iCs w:val="0"/>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bCs/>
          <w:i w:val="0"/>
          <w:iCs w:val="0"/>
          <w:color w:val="000000" w:themeColor="text1"/>
          <w:sz w:val="24"/>
          <w:szCs w:val="24"/>
          <w:highlight w:val="none"/>
          <w14:textFill>
            <w14:solidFill>
              <w14:schemeClr w14:val="tx1"/>
            </w14:solidFill>
          </w14:textFill>
        </w:rPr>
        <w:t>. 询问</w:t>
      </w:r>
    </w:p>
    <w:p w14:paraId="73E77AD8">
      <w:pPr>
        <w:keepNext w:val="0"/>
        <w:keepLines w:val="0"/>
        <w:pageBreakBefore w:val="0"/>
        <w:overflowPunct/>
        <w:topLinePunct w:val="0"/>
        <w:autoSpaceDE/>
        <w:autoSpaceDN/>
        <w:bidi w:val="0"/>
        <w:spacing w:before="67" w:line="500" w:lineRule="exact"/>
        <w:ind w:firstLine="480" w:firstLineChars="200"/>
        <w:jc w:val="left"/>
        <w:textAlignment w:val="auto"/>
        <w:outlineLvl w:val="9"/>
        <w:rPr>
          <w:rFonts w:hint="eastAsia" w:ascii="宋体" w:hAnsi="宋体" w:eastAsia="宋体" w:cs="宋体"/>
          <w:b w:val="0"/>
          <w:bCs w:val="0"/>
          <w:i w:val="0"/>
          <w:iCs w:val="0"/>
          <w:color w:val="000000" w:themeColor="text1"/>
          <w:sz w:val="24"/>
          <w:szCs w:val="24"/>
          <w:highlight w:val="none"/>
          <w14:textFill>
            <w14:solidFill>
              <w14:schemeClr w14:val="tx1"/>
            </w14:solidFill>
          </w14:textFill>
        </w:rPr>
      </w:pPr>
      <w:r>
        <w:rPr>
          <w:rFonts w:hint="eastAsia" w:ascii="宋体" w:hAnsi="宋体" w:cs="宋体"/>
          <w:b w:val="0"/>
          <w:bCs w:val="0"/>
          <w:i w:val="0"/>
          <w:iCs w:val="0"/>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.1潜在</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应仔细阅读和检查招标文件的全部内容。如有疑问，可以向</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采购人</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或者</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招标代理</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机构提出询问。</w:t>
      </w:r>
    </w:p>
    <w:p w14:paraId="6A675EC7">
      <w:pPr>
        <w:keepNext w:val="0"/>
        <w:keepLines w:val="0"/>
        <w:pageBreakBefore w:val="0"/>
        <w:overflowPunct/>
        <w:topLinePunct w:val="0"/>
        <w:autoSpaceDE/>
        <w:autoSpaceDN/>
        <w:bidi w:val="0"/>
        <w:spacing w:before="67" w:line="500" w:lineRule="exact"/>
        <w:ind w:firstLine="482" w:firstLineChars="200"/>
        <w:jc w:val="left"/>
        <w:textAlignment w:val="auto"/>
        <w:outlineLvl w:val="9"/>
        <w:rPr>
          <w:rFonts w:hint="eastAsia" w:ascii="宋体" w:hAnsi="宋体" w:eastAsia="宋体" w:cs="宋体"/>
          <w:b/>
          <w:bCs/>
          <w:i w:val="0"/>
          <w:iCs w:val="0"/>
          <w:color w:val="000000" w:themeColor="text1"/>
          <w:sz w:val="24"/>
          <w:szCs w:val="24"/>
          <w:highlight w:val="none"/>
          <w14:textFill>
            <w14:solidFill>
              <w14:schemeClr w14:val="tx1"/>
            </w14:solidFill>
          </w14:textFill>
        </w:rPr>
      </w:pPr>
      <w:r>
        <w:rPr>
          <w:rFonts w:hint="eastAsia" w:ascii="宋体" w:hAnsi="宋体" w:cs="宋体"/>
          <w:b/>
          <w:bCs/>
          <w:i w:val="0"/>
          <w:iCs w:val="0"/>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i w:val="0"/>
          <w:iCs w:val="0"/>
          <w:color w:val="000000" w:themeColor="text1"/>
          <w:sz w:val="24"/>
          <w:szCs w:val="24"/>
          <w:highlight w:val="none"/>
          <w14:textFill>
            <w14:solidFill>
              <w14:schemeClr w14:val="tx1"/>
            </w14:solidFill>
          </w14:textFill>
        </w:rPr>
        <w:t>. 招标文件的澄清或者修改</w:t>
      </w:r>
    </w:p>
    <w:p w14:paraId="1D2F85D3">
      <w:pPr>
        <w:keepNext w:val="0"/>
        <w:keepLines w:val="0"/>
        <w:pageBreakBefore w:val="0"/>
        <w:overflowPunct/>
        <w:topLinePunct w:val="0"/>
        <w:autoSpaceDE/>
        <w:autoSpaceDN/>
        <w:bidi w:val="0"/>
        <w:spacing w:before="67" w:line="500" w:lineRule="exact"/>
        <w:ind w:firstLine="480" w:firstLineChars="200"/>
        <w:jc w:val="left"/>
        <w:textAlignment w:val="auto"/>
        <w:outlineLvl w:val="9"/>
        <w:rPr>
          <w:rFonts w:hint="eastAsia" w:ascii="宋体" w:hAnsi="宋体" w:eastAsia="宋体" w:cs="宋体"/>
          <w:b w:val="0"/>
          <w:bCs w:val="0"/>
          <w:i w:val="0"/>
          <w:iCs w:val="0"/>
          <w:color w:val="000000" w:themeColor="text1"/>
          <w:sz w:val="24"/>
          <w:szCs w:val="24"/>
          <w:highlight w:val="none"/>
          <w14:textFill>
            <w14:solidFill>
              <w14:schemeClr w14:val="tx1"/>
            </w14:solidFill>
          </w14:textFill>
        </w:rPr>
      </w:pPr>
      <w:r>
        <w:rPr>
          <w:rFonts w:hint="eastAsia" w:ascii="宋体" w:hAnsi="宋体" w:cs="宋体"/>
          <w:b w:val="0"/>
          <w:bCs w:val="0"/>
          <w:i w:val="0"/>
          <w:iCs w:val="0"/>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.1</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招标代理</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机构对已发出的招标文件进行必要澄清或者修改的，将在“投标邀请”指定的媒体上发布澄清或者修改公告。</w:t>
      </w:r>
    </w:p>
    <w:p w14:paraId="6429E333">
      <w:pPr>
        <w:keepNext w:val="0"/>
        <w:keepLines w:val="0"/>
        <w:pageBreakBefore w:val="0"/>
        <w:overflowPunct/>
        <w:topLinePunct w:val="0"/>
        <w:autoSpaceDE/>
        <w:autoSpaceDN/>
        <w:bidi w:val="0"/>
        <w:spacing w:before="67" w:line="500" w:lineRule="exact"/>
        <w:ind w:firstLine="480" w:firstLineChars="200"/>
        <w:jc w:val="left"/>
        <w:textAlignment w:val="auto"/>
        <w:outlineLvl w:val="9"/>
        <w:rPr>
          <w:rFonts w:hint="eastAsia" w:ascii="宋体" w:hAnsi="宋体" w:eastAsia="宋体" w:cs="宋体"/>
          <w:b w:val="0"/>
          <w:bCs w:val="0"/>
          <w:i w:val="0"/>
          <w:iCs w:val="0"/>
          <w:color w:val="000000" w:themeColor="text1"/>
          <w:sz w:val="24"/>
          <w:szCs w:val="24"/>
          <w:highlight w:val="none"/>
          <w14:textFill>
            <w14:solidFill>
              <w14:schemeClr w14:val="tx1"/>
            </w14:solidFill>
          </w14:textFill>
        </w:rPr>
      </w:pPr>
      <w:r>
        <w:rPr>
          <w:rFonts w:hint="eastAsia" w:ascii="宋体" w:hAnsi="宋体" w:cs="宋体"/>
          <w:b w:val="0"/>
          <w:bCs w:val="0"/>
          <w:i w:val="0"/>
          <w:iCs w:val="0"/>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.2澄清或者修改的内容可能影响投标文件编制的，</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招标代理</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机构将在提交投标文件截止时间15日前，以书面形式通知所有获取招标文件的潜在</w:t>
      </w:r>
      <w:r>
        <w:rPr>
          <w:rFonts w:hint="eastAsia" w:ascii="宋体" w:hAnsi="宋体" w:cs="宋体"/>
          <w:b w:val="0"/>
          <w:bCs w:val="0"/>
          <w:i w:val="0"/>
          <w:i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i w:val="0"/>
          <w:iCs w:val="0"/>
          <w:color w:val="000000" w:themeColor="text1"/>
          <w:sz w:val="24"/>
          <w:szCs w:val="24"/>
          <w:highlight w:val="none"/>
          <w14:textFill>
            <w14:solidFill>
              <w14:schemeClr w14:val="tx1"/>
            </w14:solidFill>
          </w14:textFill>
        </w:rPr>
        <w:t>；不足15日的，将相应延长提交投标文件的截止时间。</w:t>
      </w:r>
    </w:p>
    <w:p w14:paraId="0028849D">
      <w:pPr>
        <w:keepNext w:val="0"/>
        <w:keepLines w:val="0"/>
        <w:pageBreakBefore w:val="0"/>
        <w:overflowPunct/>
        <w:topLinePunct w:val="0"/>
        <w:autoSpaceDE/>
        <w:autoSpaceDN/>
        <w:bidi w:val="0"/>
        <w:spacing w:before="67" w:line="500" w:lineRule="exact"/>
        <w:jc w:val="center"/>
        <w:textAlignment w:val="auto"/>
        <w:outlineLvl w:val="9"/>
        <w:rPr>
          <w:rFonts w:hint="eastAsia" w:ascii="宋体" w:hAnsi="宋体" w:eastAsia="宋体" w:cs="宋体"/>
          <w:b/>
          <w:bCs/>
          <w:i w:val="0"/>
          <w:iCs w:val="0"/>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i w:val="0"/>
          <w:iCs w:val="0"/>
          <w:color w:val="000000" w:themeColor="text1"/>
          <w:sz w:val="28"/>
          <w:szCs w:val="28"/>
          <w:highlight w:val="none"/>
          <w14:textFill>
            <w14:solidFill>
              <w14:schemeClr w14:val="tx1"/>
            </w14:solidFill>
          </w14:textFill>
        </w:rPr>
        <w:t>（三）投标</w:t>
      </w:r>
      <w:r>
        <w:rPr>
          <w:rFonts w:hint="eastAsia" w:ascii="宋体" w:hAnsi="宋体" w:cs="宋体"/>
          <w:b/>
          <w:bCs/>
          <w:i w:val="0"/>
          <w:iCs w:val="0"/>
          <w:color w:val="000000" w:themeColor="text1"/>
          <w:sz w:val="28"/>
          <w:szCs w:val="28"/>
          <w:highlight w:val="none"/>
          <w:lang w:val="en-US" w:eastAsia="zh-CN"/>
          <w14:textFill>
            <w14:solidFill>
              <w14:schemeClr w14:val="tx1"/>
            </w14:solidFill>
          </w14:textFill>
        </w:rPr>
        <w:t>文件</w:t>
      </w:r>
    </w:p>
    <w:p w14:paraId="4958AE2C">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10.投标的语言及</w:t>
      </w: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计量</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单位 </w:t>
      </w:r>
    </w:p>
    <w:p w14:paraId="1B61986D">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10.1 除专用术语外，</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提交的投标文件及</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与</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招标代理</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机构就有关投标的所有来往函电均使用中文。</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可以提交其</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他</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语言的资料，但应附有中文注释，有差异时以中文为准。 </w:t>
      </w:r>
    </w:p>
    <w:p w14:paraId="3D66E8CC">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10.2 除</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技术参数</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中另有规定外，</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投标文件</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所使用的</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计量</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单位，均采用</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中华人民共和国法定计量单位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5E859622">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11.投标文件构成 </w:t>
      </w:r>
    </w:p>
    <w:p w14:paraId="2F31BF25">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.1投标文件内容如下：</w:t>
      </w:r>
    </w:p>
    <w:p w14:paraId="54AE9682">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（1）投标函； </w:t>
      </w:r>
    </w:p>
    <w:p w14:paraId="1D8F5657">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开标一览表</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w:t>
      </w:r>
    </w:p>
    <w:p w14:paraId="2384E730">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（3）投标分项报价表</w:t>
      </w:r>
    </w:p>
    <w:p w14:paraId="6225160E">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（4）技术参数、要求</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响应/偏离表；</w:t>
      </w:r>
    </w:p>
    <w:p w14:paraId="0447D97D">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商务条款响应/偏离表</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w:t>
      </w:r>
    </w:p>
    <w:p w14:paraId="150EAA24">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投标人应当提交的资格、资信证明文件</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p>
    <w:p w14:paraId="3056D16C">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其他资料</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p>
    <w:p w14:paraId="488AFF97">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可以编制资格审查索引表、符合性审查索引表、评审索引表，以方便</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及</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招标代理</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机构、评标委员会在资格审查及评审时查阅。</w:t>
      </w:r>
    </w:p>
    <w:p w14:paraId="6EAA81B7">
      <w:pPr>
        <w:pStyle w:val="9"/>
        <w:keepNext w:val="0"/>
        <w:keepLines w:val="0"/>
        <w:pageBreakBefore w:val="0"/>
        <w:widowControl w:val="0"/>
        <w:kinsoku/>
        <w:wordWrap/>
        <w:overflowPunct/>
        <w:topLinePunct w:val="0"/>
        <w:autoSpaceDE/>
        <w:autoSpaceDN/>
        <w:bidi w:val="0"/>
        <w:adjustRightInd w:val="0"/>
        <w:snapToGrid w:val="0"/>
        <w:spacing w:beforeLines="20" w:afterLines="20" w:line="500" w:lineRule="exact"/>
        <w:ind w:left="0" w:leftChars="0" w:right="-105" w:rightChars="-50" w:firstLine="480" w:firstLineChars="200"/>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无论中标与否，其投标文件不予退还。 </w:t>
      </w:r>
    </w:p>
    <w:p w14:paraId="2FB68D10">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11.</w:t>
      </w: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投标文件的编制 </w:t>
      </w:r>
    </w:p>
    <w:p w14:paraId="5287BA8F">
      <w:pPr>
        <w:keepNext w:val="0"/>
        <w:keepLines w:val="0"/>
        <w:pageBreakBefore w:val="0"/>
        <w:widowControl/>
        <w:kinsoku w:val="0"/>
        <w:wordWrap w:val="0"/>
        <w:overflowPunct/>
        <w:topLinePunct/>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应当按照招标文件的要求编制投标文件。投标文件应当对招标文件提出的要求和条件作出明确响应。 </w:t>
      </w:r>
    </w:p>
    <w:p w14:paraId="5C929538">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11.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投标文件因字迹潦草或表达不清所引起的后果由</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负责。 </w:t>
      </w:r>
    </w:p>
    <w:p w14:paraId="5CFFB40C">
      <w:pPr>
        <w:pStyle w:val="7"/>
        <w:keepNext w:val="0"/>
        <w:pageBreakBefore w:val="0"/>
        <w:overflowPunct/>
        <w:autoSpaceDE/>
        <w:bidi w:val="0"/>
        <w:spacing w:line="500" w:lineRule="exact"/>
        <w:ind w:firstLine="480"/>
        <w:textAlignment w:val="auto"/>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12.投标报价</w:t>
      </w:r>
    </w:p>
    <w:p w14:paraId="30878A65">
      <w:pPr>
        <w:keepNext w:val="0"/>
        <w:pageBreakBefore w:val="0"/>
        <w:overflowPunct/>
        <w:autoSpaceDE/>
        <w:bidi w:val="0"/>
        <w:spacing w:line="500" w:lineRule="exact"/>
        <w:ind w:firstLine="48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12.1 投标人应以招标文件规定的供货及服务要求、责任范围和合同条件为基础，按招标文件及第三章的有关规定进行报价。</w:t>
      </w:r>
    </w:p>
    <w:p w14:paraId="3515AF2B">
      <w:pPr>
        <w:keepNext w:val="0"/>
        <w:pageBreakBefore w:val="0"/>
        <w:overflowPunct/>
        <w:autoSpaceDE/>
        <w:bidi w:val="0"/>
        <w:spacing w:line="500" w:lineRule="exact"/>
        <w:ind w:firstLine="48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12.2 投标人的投标报价不得超过采购预算，也不得超过最高限价(招标文件设定最高限价的)，否则其投标无效。采购项目采购预算、最高限价见招标文件。</w:t>
      </w:r>
    </w:p>
    <w:p w14:paraId="509788BC">
      <w:pPr>
        <w:keepNext w:val="0"/>
        <w:pageBreakBefore w:val="0"/>
        <w:overflowPunct/>
        <w:autoSpaceDE/>
        <w:bidi w:val="0"/>
        <w:spacing w:line="500" w:lineRule="exact"/>
        <w:ind w:firstLine="48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12.3 投标人应在分项报价表中对每项内容给予详细分项报价。</w:t>
      </w:r>
    </w:p>
    <w:p w14:paraId="598366E3">
      <w:pPr>
        <w:keepNext w:val="0"/>
        <w:pageBreakBefore w:val="0"/>
        <w:overflowPunct/>
        <w:autoSpaceDE/>
        <w:bidi w:val="0"/>
        <w:spacing w:line="500" w:lineRule="exact"/>
        <w:ind w:firstLine="48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12.4 投标人在提交投标文件的截止时间前修改“开标一览表”中的投标总价的，应同时修改投标文件中“投标分项报价表”等相关内容。若投标人未按此要求修改，影响投标报价评审，其风险和责任由投标人自己承担。</w:t>
      </w:r>
    </w:p>
    <w:p w14:paraId="453C3C3E">
      <w:pPr>
        <w:keepNext w:val="0"/>
        <w:pageBreakBefore w:val="0"/>
        <w:overflowPunct/>
        <w:autoSpaceDE/>
        <w:bidi w:val="0"/>
        <w:spacing w:line="500" w:lineRule="exact"/>
        <w:ind w:firstLine="480"/>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13.投标人的资格证明文件</w:t>
      </w:r>
    </w:p>
    <w:p w14:paraId="26D73515">
      <w:pPr>
        <w:keepNext w:val="0"/>
        <w:pageBreakBefore w:val="0"/>
        <w:overflowPunct/>
        <w:autoSpaceDE/>
        <w:bidi w:val="0"/>
        <w:spacing w:line="500" w:lineRule="exact"/>
        <w:ind w:firstLine="480"/>
        <w:textAlignment w:val="auto"/>
        <w:rPr>
          <w:rFonts w:hint="default" w:ascii="宋体" w:hAnsi="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default" w:ascii="宋体" w:hAnsi="宋体" w:cs="宋体"/>
          <w:b w:val="0"/>
          <w:bCs w:val="0"/>
          <w:color w:val="000000" w:themeColor="text1"/>
          <w:sz w:val="24"/>
          <w:szCs w:val="24"/>
          <w:highlight w:val="none"/>
          <w:lang w:val="en-US" w:eastAsia="zh-CN"/>
          <w14:textFill>
            <w14:solidFill>
              <w14:schemeClr w14:val="tx1"/>
            </w14:solidFill>
          </w14:textFill>
        </w:rPr>
        <w:t>.1 除招标文件另有规定外，投标人应按下列规定提供资格证明文件：</w:t>
      </w:r>
    </w:p>
    <w:p w14:paraId="588E674D">
      <w:pPr>
        <w:pStyle w:val="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highlight w:val="none"/>
          <w:lang w:val="en-US" w:bidi="ar-SA"/>
        </w:rPr>
      </w:pPr>
      <w:r>
        <w:rPr>
          <w:rFonts w:hint="eastAsia"/>
          <w:color w:val="auto"/>
          <w:highlight w:val="none"/>
          <w:lang w:val="en-US" w:eastAsia="zh-CN" w:bidi="ar-SA"/>
        </w:rPr>
        <w:t>（1）</w:t>
      </w:r>
      <w:r>
        <w:rPr>
          <w:rFonts w:hint="eastAsia"/>
          <w:color w:val="auto"/>
          <w:highlight w:val="none"/>
          <w:lang w:val="en-US" w:bidi="ar-SA"/>
        </w:rPr>
        <w:t>具有独立承担民事责任的能力；【提供法人或者其他组织的营业执照；法人授权委托书及委托代理人身份证（法定代表人参加则需提供法定代表人身份证明书及法定代表人身份证）；自然人投标提供身份证明】</w:t>
      </w:r>
    </w:p>
    <w:p w14:paraId="649C2623">
      <w:pPr>
        <w:pStyle w:val="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highlight w:val="none"/>
          <w:lang w:val="en-US" w:bidi="ar-SA"/>
        </w:rPr>
      </w:pPr>
      <w:r>
        <w:rPr>
          <w:rFonts w:hint="eastAsia"/>
          <w:color w:val="auto"/>
          <w:highlight w:val="none"/>
          <w:lang w:val="en-US" w:eastAsia="zh-CN" w:bidi="ar-SA"/>
        </w:rPr>
        <w:t>（2）</w:t>
      </w:r>
      <w:r>
        <w:rPr>
          <w:rFonts w:hint="eastAsia"/>
          <w:color w:val="auto"/>
          <w:highlight w:val="none"/>
          <w:lang w:val="en-US" w:bidi="ar-SA"/>
        </w:rPr>
        <w:t>具有良好的商业信誉和健全的财务会计制度；【提供下列材料之一：①提供近3年任意一年的年度财务审计报告；②提交投标截止时间前6个月内由投标人基本账户开户银行出具的银行资信证明（附开户许可证或基本存款账户信息）】</w:t>
      </w:r>
    </w:p>
    <w:p w14:paraId="513AFF13">
      <w:pPr>
        <w:pStyle w:val="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highlight w:val="none"/>
          <w:lang w:val="en-US" w:bidi="ar-SA"/>
        </w:rPr>
      </w:pPr>
      <w:r>
        <w:rPr>
          <w:rFonts w:hint="eastAsia"/>
          <w:color w:val="auto"/>
          <w:highlight w:val="none"/>
          <w:lang w:val="en-US" w:eastAsia="zh-CN" w:bidi="ar-SA"/>
        </w:rPr>
        <w:t>（3）</w:t>
      </w:r>
      <w:r>
        <w:rPr>
          <w:rFonts w:hint="eastAsia"/>
          <w:color w:val="auto"/>
          <w:highlight w:val="none"/>
          <w:lang w:val="en-US" w:bidi="ar-SA"/>
        </w:rPr>
        <w:t>具有履行合同所必需的设备和专业技术能力；【提供承诺函，格式自拟】</w:t>
      </w:r>
    </w:p>
    <w:p w14:paraId="6A631AAD">
      <w:pPr>
        <w:pStyle w:val="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highlight w:val="none"/>
          <w:lang w:val="en-US" w:bidi="ar-SA"/>
        </w:rPr>
      </w:pPr>
      <w:r>
        <w:rPr>
          <w:rFonts w:hint="eastAsia"/>
          <w:color w:val="auto"/>
          <w:highlight w:val="none"/>
          <w:lang w:val="en-US" w:eastAsia="zh-CN" w:bidi="ar-SA"/>
        </w:rPr>
        <w:t>（4）</w:t>
      </w:r>
      <w:r>
        <w:rPr>
          <w:rFonts w:hint="eastAsia"/>
          <w:color w:val="auto"/>
          <w:highlight w:val="none"/>
          <w:lang w:val="en-US" w:bidi="ar-SA"/>
        </w:rPr>
        <w:t>有依法缴纳税收和社会保障资金的良好记录；【提交投标截止时间前6个月内</w:t>
      </w:r>
      <w:r>
        <w:rPr>
          <w:rFonts w:hint="eastAsia"/>
          <w:b/>
          <w:bCs/>
          <w:color w:val="auto"/>
          <w:highlight w:val="none"/>
          <w:lang w:val="en-US" w:bidi="ar-SA"/>
        </w:rPr>
        <w:t>（不含开标当月）</w:t>
      </w:r>
      <w:r>
        <w:rPr>
          <w:rFonts w:hint="eastAsia"/>
          <w:color w:val="auto"/>
          <w:highlight w:val="none"/>
          <w:lang w:val="en-US" w:bidi="ar-SA"/>
        </w:rPr>
        <w:t>任意一个月的依法缴纳税收及社保的证明】</w:t>
      </w:r>
    </w:p>
    <w:p w14:paraId="1D324AC0">
      <w:pPr>
        <w:pStyle w:val="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highlight w:val="none"/>
          <w:lang w:val="en-US" w:bidi="ar-SA"/>
        </w:rPr>
      </w:pPr>
      <w:r>
        <w:rPr>
          <w:rFonts w:hint="eastAsia"/>
          <w:color w:val="auto"/>
          <w:highlight w:val="none"/>
          <w:lang w:val="en-US" w:eastAsia="zh-CN" w:bidi="ar-SA"/>
        </w:rPr>
        <w:t>（5）</w:t>
      </w:r>
      <w:r>
        <w:rPr>
          <w:rFonts w:hint="eastAsia"/>
          <w:color w:val="auto"/>
          <w:highlight w:val="none"/>
          <w:lang w:val="en-US" w:bidi="ar-SA"/>
        </w:rPr>
        <w:t>参加招标活动前三年内，在经营活动中没有重大违法记录；【提供承诺函，格式自拟】</w:t>
      </w:r>
    </w:p>
    <w:p w14:paraId="36EED177">
      <w:pPr>
        <w:pStyle w:val="7"/>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highlight w:val="none"/>
          <w:lang w:val="en-US" w:bidi="ar-SA"/>
        </w:rPr>
      </w:pPr>
      <w:r>
        <w:rPr>
          <w:rFonts w:hint="eastAsia"/>
          <w:color w:val="auto"/>
          <w:highlight w:val="none"/>
          <w:lang w:val="en-US" w:eastAsia="zh-CN" w:bidi="ar-SA"/>
        </w:rPr>
        <w:t>（6）</w:t>
      </w:r>
      <w:r>
        <w:rPr>
          <w:rFonts w:hint="eastAsia"/>
          <w:color w:val="auto"/>
          <w:highlight w:val="none"/>
          <w:lang w:val="en-US" w:bidi="ar-SA"/>
        </w:rPr>
        <w:t>法律、行政法规规定的其他条件：①通过信用中国网站和中国政府采购网查询相关主体信用记录，被列入失信被执行人、重大税收违法失信主体、政府采购严重违法失信行为记录名单的投标人（处罚期限尚未届满的），不得参与本项目的采购活动；（告知项，无需提供证明材料）</w:t>
      </w:r>
    </w:p>
    <w:p w14:paraId="6AB08064">
      <w:pPr>
        <w:pStyle w:val="7"/>
        <w:keepNext w:val="0"/>
        <w:pageBreakBefore w:val="0"/>
        <w:overflowPunct/>
        <w:autoSpaceDE/>
        <w:bidi w:val="0"/>
        <w:spacing w:line="500" w:lineRule="exact"/>
        <w:ind w:firstLine="480" w:firstLineChars="200"/>
        <w:textAlignment w:val="auto"/>
        <w:rPr>
          <w:rFonts w:hint="eastAsia"/>
          <w:color w:val="auto"/>
          <w:highlight w:val="none"/>
          <w:lang w:val="en-US" w:bidi="ar-SA"/>
        </w:rPr>
      </w:pPr>
      <w:r>
        <w:rPr>
          <w:rFonts w:hint="eastAsia"/>
          <w:color w:val="auto"/>
          <w:highlight w:val="none"/>
          <w:lang w:val="en-US" w:bidi="ar-SA"/>
        </w:rPr>
        <w:t>②单位负责人为同一人或者存在直接控股、管理关系的不同投标人，不得参加同一合同项下的采购活动；（告知项，无需提供证明材料）</w:t>
      </w:r>
    </w:p>
    <w:p w14:paraId="3B500C51">
      <w:pPr>
        <w:keepNext w:val="0"/>
        <w:pageBreakBefore w:val="0"/>
        <w:overflowPunct/>
        <w:autoSpaceDE/>
        <w:bidi w:val="0"/>
        <w:spacing w:line="500" w:lineRule="exact"/>
        <w:ind w:firstLine="480" w:firstLineChars="200"/>
        <w:textAlignment w:val="auto"/>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w:t>
      </w:r>
      <w:r>
        <w:rPr>
          <w:rFonts w:ascii="宋体" w:hAnsi="宋体" w:cs="宋体"/>
          <w:color w:val="auto"/>
          <w:sz w:val="24"/>
          <w:szCs w:val="24"/>
          <w:highlight w:val="none"/>
        </w:rPr>
        <w:t>本项目不接受联合体投标，且不允许转包、分包。【提供承诺函，格式自拟】</w:t>
      </w:r>
    </w:p>
    <w:p w14:paraId="36EE6EC7">
      <w:pPr>
        <w:keepNext w:val="0"/>
        <w:pageBreakBefore w:val="0"/>
        <w:numPr>
          <w:ilvl w:val="0"/>
          <w:numId w:val="0"/>
        </w:numPr>
        <w:overflowPunct/>
        <w:autoSpaceDE/>
        <w:bidi w:val="0"/>
        <w:spacing w:line="500" w:lineRule="exact"/>
        <w:ind w:firstLine="480" w:firstLineChars="200"/>
        <w:textAlignment w:val="auto"/>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（8）</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本项目的特定资格要求：</w:t>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无</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w:t>
      </w:r>
    </w:p>
    <w:p w14:paraId="41D4C29A">
      <w:pPr>
        <w:keepNext w:val="0"/>
        <w:pageBreakBefore w:val="0"/>
        <w:overflowPunct/>
        <w:autoSpaceDE/>
        <w:bidi w:val="0"/>
        <w:spacing w:line="500" w:lineRule="exact"/>
        <w:ind w:firstLine="480"/>
        <w:textAlignment w:val="auto"/>
        <w:rPr>
          <w:rFonts w:hint="default" w:ascii="宋体" w:hAnsi="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default" w:ascii="宋体" w:hAnsi="宋体" w:cs="宋体"/>
          <w:b w:val="0"/>
          <w:bCs w:val="0"/>
          <w:color w:val="000000" w:themeColor="text1"/>
          <w:sz w:val="24"/>
          <w:szCs w:val="24"/>
          <w:highlight w:val="none"/>
          <w:lang w:val="en-US" w:eastAsia="zh-CN"/>
          <w14:textFill>
            <w14:solidFill>
              <w14:schemeClr w14:val="tx1"/>
            </w14:solidFill>
          </w14:textFill>
        </w:rPr>
        <w:t>.2 符合特定资格条件证明材料复印件。具体要求见招标文件。</w:t>
      </w:r>
    </w:p>
    <w:p w14:paraId="656ADD2A">
      <w:pPr>
        <w:keepNext w:val="0"/>
        <w:pageBreakBefore w:val="0"/>
        <w:overflowPunct/>
        <w:autoSpaceDE/>
        <w:bidi w:val="0"/>
        <w:spacing w:line="500" w:lineRule="exact"/>
        <w:ind w:firstLine="480"/>
        <w:textAlignment w:val="auto"/>
        <w:rPr>
          <w:rFonts w:hint="default" w:ascii="宋体" w:hAnsi="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default" w:ascii="宋体" w:hAnsi="宋体" w:cs="宋体"/>
          <w:b w:val="0"/>
          <w:bCs w:val="0"/>
          <w:color w:val="000000" w:themeColor="text1"/>
          <w:sz w:val="24"/>
          <w:szCs w:val="24"/>
          <w:highlight w:val="none"/>
          <w:lang w:val="en-US"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w:t>
      </w:r>
      <w:r>
        <w:rPr>
          <w:rFonts w:hint="default" w:ascii="宋体" w:hAnsi="宋体" w:cs="宋体"/>
          <w:b w:val="0"/>
          <w:bCs w:val="0"/>
          <w:color w:val="000000" w:themeColor="text1"/>
          <w:sz w:val="24"/>
          <w:szCs w:val="24"/>
          <w:highlight w:val="none"/>
          <w:lang w:val="en-US" w:eastAsia="zh-CN"/>
          <w14:textFill>
            <w14:solidFill>
              <w14:schemeClr w14:val="tx1"/>
            </w14:solidFill>
          </w14:textFill>
        </w:rPr>
        <w:t xml:space="preserve"> 上述投标人的资格证明文件均应为有效文件并加盖投标人公章，并按招标文件规定签署。</w:t>
      </w:r>
    </w:p>
    <w:p w14:paraId="35E6DEA4">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14</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.投标保证金 </w:t>
      </w:r>
    </w:p>
    <w:p w14:paraId="4EE72A35">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投标保证金金额：见“</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须知及前附表”。</w:t>
      </w:r>
    </w:p>
    <w:p w14:paraId="3CED947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如果招标文件允许联合体投标的，可以由联合体中的一方或者共同提交投标保证金。以一方名义提交投标保证金的，对联合体各方均具有约束力。</w:t>
      </w:r>
    </w:p>
    <w:p w14:paraId="7D9BE849">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 投标保证金的退还按以下规定办理：</w:t>
      </w:r>
    </w:p>
    <w:p w14:paraId="4B590DCD">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中标</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的投标保证金，将在采购合同签订后5个工作日内退还</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，但因</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自身原因导致无法及时退还的除外。</w:t>
      </w:r>
    </w:p>
    <w:p w14:paraId="1A9A2414">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）未中标的</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的投标保证金，将在中标通知书发出后5个工作日内退还，但因</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自身原因导致无法及时退还的除外。</w:t>
      </w:r>
    </w:p>
    <w:p w14:paraId="7560301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）终止招标的，对于已递交投标保证金的，</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招标代理</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机构在终止招标公告发布后5个工作日内退还，但因</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自身原因导致无法及时退还的除外。</w:t>
      </w:r>
    </w:p>
    <w:p w14:paraId="2BC4E5F0">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）在投标截止日前撤回投标的，对于已递交投标保证金的，</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招标代理</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机构在收到</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书面撤回投标通知之日起5个工作日内退还，但因</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自身原因导致无法及时退还的除外。 </w:t>
      </w:r>
    </w:p>
    <w:p w14:paraId="1C47615F">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 下列任何情况发生时，不予退还其交纳的投标保证金： </w:t>
      </w:r>
    </w:p>
    <w:p w14:paraId="23FB1FC3">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在投标有效期内撤回其投标； </w:t>
      </w:r>
    </w:p>
    <w:p w14:paraId="336381F9">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（2)中标单位未按招标文件所述规定签订合同； </w:t>
      </w:r>
    </w:p>
    <w:p w14:paraId="350B72AD">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（3)</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出现相互串通行为； </w:t>
      </w:r>
    </w:p>
    <w:p w14:paraId="0076CA19">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 xml:space="preserve">（4)中标单位未按规定提交履约保证金（如招标文件要求提交履约保证金）； </w:t>
      </w:r>
    </w:p>
    <w:p w14:paraId="03A002E7">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（5)中标单位提供虚假材料和文件意图骗取中标。</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4597C994">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.投标有效期 </w:t>
      </w:r>
    </w:p>
    <w:p w14:paraId="23BAEB80">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本投标有效期为自招标文件规定的提交投标文件截止之日起90个日历日。投标文件中承诺的投标有效期应当不少于招标文件中载明的投标有效期。 </w:t>
      </w:r>
    </w:p>
    <w:p w14:paraId="433183B5">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投标有效期内</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撤销投标文件的，</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应承担招标文件和法律规定的责任。 </w:t>
      </w:r>
    </w:p>
    <w:p w14:paraId="6D68EA40">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.投标文件的式样和签署 </w:t>
      </w:r>
    </w:p>
    <w:p w14:paraId="3AFDC904">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应按照</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须知</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及前附表内的</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要求准备。 </w:t>
      </w:r>
    </w:p>
    <w:p w14:paraId="0AED4583">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 xml:space="preserve">16.2 </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投标文件均应使用不能擦去的墨水书写、打印，并编写目录，编制页码。招标文件中有规定格式的，均应按规定格式编制和签章。全套文件应无涂改和行间插字，除非这些删改是根据</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的指示进行的，或者是</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造成的必须修改的错误，修改处应由</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加盖单位公章。</w:t>
      </w:r>
    </w:p>
    <w:p w14:paraId="53A5C4E1">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 xml:space="preserve">16.3 </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未按上述规定编制投标文件，其评标风险自负。</w:t>
      </w:r>
    </w:p>
    <w:p w14:paraId="22FD1D48">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7</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.投标文件的密封</w:t>
      </w:r>
    </w:p>
    <w:p w14:paraId="75928684">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17</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应将投标文件密封包装以保证自己的投标信息在开标前不被透露。投标时，</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 xml:space="preserve">应将投标文件以下列要求进行密封包装： </w:t>
      </w:r>
    </w:p>
    <w:p w14:paraId="5C38E49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投标文件：将正本和所有副本密封在标记为“投标文件”的密封袋（箱）中进行提交</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w:t>
      </w:r>
    </w:p>
    <w:p w14:paraId="2C68A2A7">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17</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.2响应文件密封袋（箱）上应标注内容：</w:t>
      </w:r>
    </w:p>
    <w:p w14:paraId="53723D15">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（1）“投标文件”；</w:t>
      </w:r>
    </w:p>
    <w:p w14:paraId="6D1A5E43">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（2）项目名称和项目编号，如果采购项目分包招标的，还应注明投标的包号；</w:t>
      </w:r>
    </w:p>
    <w:p w14:paraId="33D50B9B">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（3）递交至投标邀请中指明的地址；</w:t>
      </w:r>
    </w:p>
    <w:p w14:paraId="6CE638B4">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（4）“在</w:t>
      </w:r>
      <w:r>
        <w:rPr>
          <w:rFonts w:hint="eastAsia" w:ascii="宋体" w:hAnsi="宋体" w:eastAsia="宋体" w:cs="宋体"/>
          <w:b w:val="0"/>
          <w:bCs/>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s="宋体"/>
          <w:b w:val="0"/>
          <w:bCs/>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b w:val="0"/>
          <w:bCs/>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b w:val="0"/>
          <w:bCs/>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s="宋体"/>
          <w:b w:val="0"/>
          <w:bCs/>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b w:val="0"/>
          <w:bCs/>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b w:val="0"/>
          <w:bCs/>
          <w:i w:val="0"/>
          <w:iCs w:val="0"/>
          <w:color w:val="000000" w:themeColor="text1"/>
          <w:kern w:val="0"/>
          <w:sz w:val="24"/>
          <w:szCs w:val="24"/>
          <w:highlight w:val="none"/>
          <w:u w:val="none"/>
          <w:lang w:bidi="ar"/>
          <w14:textFill>
            <w14:solidFill>
              <w14:schemeClr w14:val="tx1"/>
            </w14:solidFill>
          </w14:textFill>
        </w:rPr>
        <w:t>日</w:t>
      </w:r>
      <w:r>
        <w:rPr>
          <w:rFonts w:hint="eastAsia" w:ascii="宋体" w:hAnsi="宋体" w:eastAsia="宋体" w:cs="宋体"/>
          <w:b w:val="0"/>
          <w:bCs/>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时</w:t>
      </w:r>
      <w:r>
        <w:rPr>
          <w:rFonts w:hint="eastAsia" w:ascii="宋体" w:hAnsi="宋体" w:eastAsia="宋体" w:cs="宋体"/>
          <w:b w:val="0"/>
          <w:bCs/>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分(投标截止时间)前不得开启”；</w:t>
      </w:r>
    </w:p>
    <w:p w14:paraId="19B1F7FA">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（5）</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名称</w:t>
      </w:r>
      <w:r>
        <w:rPr>
          <w:rFonts w:hint="eastAsia" w:ascii="宋体" w:hAnsi="宋体" w:cs="宋体"/>
          <w:b w:val="0"/>
          <w:bCs/>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b w:val="0"/>
          <w:bCs/>
          <w:i w:val="0"/>
          <w:iCs w:val="0"/>
          <w:color w:val="000000" w:themeColor="text1"/>
          <w:kern w:val="0"/>
          <w:sz w:val="24"/>
          <w:szCs w:val="24"/>
          <w:highlight w:val="none"/>
          <w:lang w:bidi="ar"/>
          <w14:textFill>
            <w14:solidFill>
              <w14:schemeClr w14:val="tx1"/>
            </w14:solidFill>
          </w14:textFill>
        </w:rPr>
        <w:t>地址和联系电话。</w:t>
      </w:r>
    </w:p>
    <w:p w14:paraId="213A98C8">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.投标截止日期 </w:t>
      </w:r>
    </w:p>
    <w:p w14:paraId="2ADD2763">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纸质投标文件正本和副本必须在投标截止时间前送达指定的投标地点并递交。 </w:t>
      </w:r>
    </w:p>
    <w:p w14:paraId="7711E9A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.2 </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投标时间截止见第一章</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投标邀请</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77D0F298">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.3 </w:t>
      </w:r>
      <w:r>
        <w:rPr>
          <w:rFonts w:hint="eastAsia" w:ascii="宋体" w:hAnsi="宋体" w:eastAsia="宋体" w:cs="宋体"/>
          <w:b/>
          <w:bCs/>
          <w:i w:val="0"/>
          <w:iCs w:val="0"/>
          <w:color w:val="000000" w:themeColor="text1"/>
          <w:kern w:val="0"/>
          <w:sz w:val="24"/>
          <w:szCs w:val="24"/>
          <w:highlight w:val="none"/>
          <w:lang w:bidi="ar"/>
          <w14:textFill>
            <w14:solidFill>
              <w14:schemeClr w14:val="tx1"/>
            </w14:solidFill>
          </w14:textFill>
        </w:rPr>
        <w:t>所有形式的投标保证金证明单据复印件加盖公章开标时出示并递交</w:t>
      </w:r>
      <w:r>
        <w:rPr>
          <w:rFonts w:hint="eastAsia" w:ascii="宋体" w:hAnsi="宋体" w:cs="宋体"/>
          <w:b/>
          <w:bCs/>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62EC7941">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.4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必须在</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招标文件</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规定</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时间内</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安排投标代表到指定的地点递交文件</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在投标截止</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时间</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之后送达的投标文件，</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将拒绝接收。 </w:t>
      </w:r>
    </w:p>
    <w:p w14:paraId="66F7E197">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.5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递交投标文件后在投标有效期内不得撤回投标。</w:t>
      </w:r>
    </w:p>
    <w:p w14:paraId="0D6D6D37">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.6 投标文件的修改及撤回 </w:t>
      </w:r>
    </w:p>
    <w:p w14:paraId="515CB476">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在投标截止时间前,对所递交的纸质投标文件可以进行补充、修改或撤回。 </w:t>
      </w:r>
    </w:p>
    <w:p w14:paraId="75767451">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（2）在投标截止时间后，</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不得对其纸质投标文件做任何修改。 </w:t>
      </w:r>
    </w:p>
    <w:p w14:paraId="641EA4B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（3）在评标结束后，不论中标与否，</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均不得要求删除投标文件全部或部分内容，各</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的纸质投标文件由招标方归档，以便接受有关部门的复查。 </w:t>
      </w:r>
    </w:p>
    <w:p w14:paraId="11EFC25E">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19</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.迟交的投标文件 </w:t>
      </w:r>
    </w:p>
    <w:p w14:paraId="2F52B68C">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按照第1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条规定，</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招标代理机构、</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将拒绝接收在其规定的投标截止期后递交的任何投标文件。 </w:t>
      </w:r>
    </w:p>
    <w:p w14:paraId="5094883A">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20</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.投标文件的修改和撤回 </w:t>
      </w:r>
    </w:p>
    <w:p w14:paraId="3009DB6B">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在投标截止时间前，</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修改或撤回投标文件的，</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可递交修改后</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投标文件或撤回其投标。 </w:t>
      </w:r>
    </w:p>
    <w:p w14:paraId="240DFFA5">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从投标截止期至投标有效期期满这段时间内，</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不得撤回其投标，否则不予退还其</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缴纳</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的投标保证金。 </w:t>
      </w:r>
    </w:p>
    <w:p w14:paraId="5828F98C">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21</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分包的规定 </w:t>
      </w:r>
    </w:p>
    <w:p w14:paraId="4C25E41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本项目是否允许分包：</w:t>
      </w:r>
      <w:r>
        <w:rPr>
          <w:rFonts w:hint="eastAsia" w:ascii="宋体" w:hAnsi="宋体" w:eastAsia="宋体" w:cs="宋体"/>
          <w:b/>
          <w:bCs/>
          <w:i w:val="0"/>
          <w:iCs w:val="0"/>
          <w:color w:val="000000" w:themeColor="text1"/>
          <w:sz w:val="24"/>
          <w:szCs w:val="24"/>
          <w:highlight w:val="none"/>
          <w14:textFill>
            <w14:solidFill>
              <w14:schemeClr w14:val="tx1"/>
            </w14:solidFill>
          </w14:textFill>
        </w:rPr>
        <w:t>不允许</w:t>
      </w:r>
      <w:r>
        <w:rPr>
          <w:rFonts w:hint="eastAsia" w:ascii="宋体" w:hAnsi="宋体" w:cs="宋体"/>
          <w:b/>
          <w:bCs/>
          <w:i w:val="0"/>
          <w:i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bCs/>
          <w:i w:val="0"/>
          <w:iCs w:val="0"/>
          <w:color w:val="000000" w:themeColor="text1"/>
          <w:sz w:val="24"/>
          <w:szCs w:val="24"/>
          <w:highlight w:val="none"/>
          <w14:textFill>
            <w14:solidFill>
              <w14:schemeClr w14:val="tx1"/>
            </w14:solidFill>
          </w14:textFill>
        </w:rPr>
        <w:t>以任何名义进行转包和分包</w:t>
      </w:r>
      <w:r>
        <w:rPr>
          <w:rFonts w:hint="eastAsia" w:ascii="宋体" w:hAnsi="宋体" w:eastAsia="宋体" w:cs="宋体"/>
          <w:i w:val="0"/>
          <w:iCs w:val="0"/>
          <w:color w:val="000000" w:themeColor="text1"/>
          <w:sz w:val="24"/>
          <w:szCs w:val="24"/>
          <w:highlight w:val="none"/>
          <w14:textFill>
            <w14:solidFill>
              <w14:schemeClr w14:val="tx1"/>
            </w14:solidFill>
          </w14:textFill>
        </w:rPr>
        <w:t>。</w:t>
      </w:r>
    </w:p>
    <w:p w14:paraId="3880F716">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.2 在中标后将中标项目的非主体、非关键性工作分包的，应当在投标文件中载明分包承担主体，分包承担主体应当具备相应资质条件且不得再次分包（适用于允许分包）。 </w:t>
      </w:r>
    </w:p>
    <w:p w14:paraId="313FFBD4">
      <w:pPr>
        <w:keepNext w:val="0"/>
        <w:keepLines w:val="0"/>
        <w:pageBreakBefore w:val="0"/>
        <w:widowControl/>
        <w:overflowPunct/>
        <w:topLinePunct w:val="0"/>
        <w:autoSpaceDE/>
        <w:autoSpaceDN/>
        <w:bidi w:val="0"/>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22</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恶意串通等行为的处理及串通投标情形的认定 </w:t>
      </w:r>
    </w:p>
    <w:p w14:paraId="2B127D0D">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22</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应当遵循公平竞争的原则，不得恶意串通，不得妨碍其他</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的竞争行为，不得损害</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或者其他</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的合法权益。在评标过程中发现</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有上述情形的，评标委员会应当认定其投标无效，并书面报告有关部门。 </w:t>
      </w:r>
    </w:p>
    <w:p w14:paraId="7EF87F4E">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22</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有下列情形之一的，视为</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串通投标，其投标无效： </w:t>
      </w:r>
    </w:p>
    <w:p w14:paraId="1E871A64">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（1）不同</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的投标文件由同一单位或者个人编制； </w:t>
      </w:r>
    </w:p>
    <w:p w14:paraId="6321DE26">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（2）不同</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委托同一单位或者个人办理投标事宜； </w:t>
      </w:r>
    </w:p>
    <w:p w14:paraId="7E07CB92">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（3）不同</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的投标文件载明的项目管理成员或者联系人员为同一人；</w:t>
      </w:r>
    </w:p>
    <w:p w14:paraId="215CDA93">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）不同投标人的投标文件异常一致或者投标报价呈规律性差异；</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65403EA7">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）不同</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的投标文件相互混装； </w:t>
      </w:r>
    </w:p>
    <w:p w14:paraId="125520AD">
      <w:pPr>
        <w:keepNext w:val="0"/>
        <w:keepLines w:val="0"/>
        <w:pageBreakBefore w:val="0"/>
        <w:widowControl/>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b/>
          <w:bCs/>
          <w:i w:val="0"/>
          <w:iCs w:val="0"/>
          <w:color w:val="000000" w:themeColor="text1"/>
          <w:sz w:val="28"/>
          <w:szCs w:val="28"/>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）不同</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的投标保证金从同一单位或者个人的账户转出。 </w:t>
      </w:r>
    </w:p>
    <w:p w14:paraId="2EB8F564">
      <w:pPr>
        <w:keepNext w:val="0"/>
        <w:keepLines w:val="0"/>
        <w:pageBreakBefore w:val="0"/>
        <w:overflowPunct/>
        <w:topLinePunct w:val="0"/>
        <w:autoSpaceDE/>
        <w:autoSpaceDN/>
        <w:bidi w:val="0"/>
        <w:spacing w:before="67" w:line="500" w:lineRule="exact"/>
        <w:jc w:val="center"/>
        <w:textAlignment w:val="auto"/>
        <w:outlineLvl w:val="9"/>
        <w:rPr>
          <w:rFonts w:hint="default" w:ascii="宋体" w:hAnsi="宋体" w:eastAsia="宋体" w:cs="宋体"/>
          <w:b/>
          <w:bCs/>
          <w:i w:val="0"/>
          <w:iCs w:val="0"/>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i w:val="0"/>
          <w:iCs w:val="0"/>
          <w:color w:val="000000" w:themeColor="text1"/>
          <w:sz w:val="28"/>
          <w:szCs w:val="28"/>
          <w:highlight w:val="none"/>
          <w14:textFill>
            <w14:solidFill>
              <w14:schemeClr w14:val="tx1"/>
            </w14:solidFill>
          </w14:textFill>
        </w:rPr>
        <w:t>（四）开标</w:t>
      </w:r>
      <w:r>
        <w:rPr>
          <w:rFonts w:hint="eastAsia" w:ascii="宋体" w:hAnsi="宋体" w:cs="宋体"/>
          <w:b/>
          <w:bCs/>
          <w:i w:val="0"/>
          <w:iCs w:val="0"/>
          <w:color w:val="000000" w:themeColor="text1"/>
          <w:sz w:val="28"/>
          <w:szCs w:val="28"/>
          <w:highlight w:val="none"/>
          <w:lang w:eastAsia="zh-CN"/>
          <w14:textFill>
            <w14:solidFill>
              <w14:schemeClr w14:val="tx1"/>
            </w14:solidFill>
          </w14:textFill>
        </w:rPr>
        <w:t>，</w:t>
      </w:r>
      <w:r>
        <w:rPr>
          <w:rFonts w:hint="eastAsia" w:ascii="宋体" w:hAnsi="宋体" w:cs="宋体"/>
          <w:b/>
          <w:bCs/>
          <w:i w:val="0"/>
          <w:iCs w:val="0"/>
          <w:color w:val="000000" w:themeColor="text1"/>
          <w:sz w:val="28"/>
          <w:szCs w:val="28"/>
          <w:highlight w:val="none"/>
          <w:lang w:val="en-US" w:eastAsia="zh-CN"/>
          <w14:textFill>
            <w14:solidFill>
              <w14:schemeClr w14:val="tx1"/>
            </w14:solidFill>
          </w14:textFill>
        </w:rPr>
        <w:t>资格审查和评标</w:t>
      </w:r>
    </w:p>
    <w:p w14:paraId="39E643BE">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.开标 </w:t>
      </w:r>
    </w:p>
    <w:p w14:paraId="283B22C5">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.1 招标代理机构将在“投标邀请函”中规定的时间和地点组织开标评标活动。 </w:t>
      </w:r>
    </w:p>
    <w:p w14:paraId="5638D01C">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.2 开标时所有投标单位授权代表须携带投标文件参加，并应签名和递交投标文件以证明其出席。 </w:t>
      </w:r>
    </w:p>
    <w:p w14:paraId="27A58F34">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.3 开标由</w:t>
      </w: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或者招标代理机构主持，邀请投标单位参加。评标委员会成员不得参加开标活动。 </w:t>
      </w:r>
    </w:p>
    <w:p w14:paraId="588F6E17">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.4 开标时，招标代理机构将宣读投标单位名称、投标总价以及招标代理机构认为合适的其他内容。 </w:t>
      </w:r>
    </w:p>
    <w:p w14:paraId="7105DFD1">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.5 开标时查验纸质投标文件密封情况，经当场确认无误后在进行开标、唱标。 </w:t>
      </w:r>
    </w:p>
    <w:p w14:paraId="1164B494">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.6 按照招标文件规定，提交了可接受的“撤回”通知的投标文件将不予开封。 </w:t>
      </w:r>
    </w:p>
    <w:p w14:paraId="2CF92510">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23</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 xml:space="preserve">.7 开标记录表应当由招标代理机构负责记录，并随招标文件一并存档。 </w:t>
      </w:r>
    </w:p>
    <w:p w14:paraId="7965A1EF">
      <w:pPr>
        <w:keepNext w:val="0"/>
        <w:pageBreakBefore w:val="0"/>
        <w:widowControl/>
        <w:numPr>
          <w:ilvl w:val="0"/>
          <w:numId w:val="0"/>
        </w:numPr>
        <w:overflowPunct/>
        <w:autoSpaceDE/>
        <w:bidi w:val="0"/>
        <w:spacing w:line="500" w:lineRule="exact"/>
        <w:ind w:firstLine="480" w:firstLineChars="200"/>
        <w:jc w:val="left"/>
        <w:textAlignment w:val="auto"/>
        <w:rPr>
          <w:rFonts w:hint="default"/>
          <w:strike/>
          <w:color w:val="000000" w:themeColor="text1"/>
          <w:highlight w:val="none"/>
          <w:lang w:val="en-US" w:eastAsia="zh-CN"/>
          <w14:textFill>
            <w14:solidFill>
              <w14:schemeClr w14:val="tx1"/>
            </w14:solidFill>
          </w14:textFill>
        </w:rPr>
      </w:pP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投标单位代表对开标过程和开标记录有疑义，以及认为</w:t>
      </w: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、招标代理机构相关工作人员有需要回避的情形的，应当场提出询问或者回避申请。</w:t>
      </w:r>
      <w:r>
        <w:rPr>
          <w:rFonts w:hint="eastAsia" w:ascii="宋体" w:hAnsi="宋体" w:cs="宋体"/>
          <w:b w:val="0"/>
          <w:bCs/>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、招标代理机构对投标单位代表提出的询问或者回避申请应当及时处理。投标单位未参加开标的，视同认可开标结果。</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 xml:space="preserve"> </w:t>
      </w:r>
    </w:p>
    <w:p w14:paraId="0DE9B2E0">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24</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.评标委员会的组成 </w:t>
      </w:r>
    </w:p>
    <w:p w14:paraId="01CD3D79">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24</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评标由依法组建的评标委员会负责。与投标人有利害关系的人不得进入评标委员会。</w:t>
      </w:r>
    </w:p>
    <w:p w14:paraId="3CC41E9A">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评标 </w:t>
      </w:r>
    </w:p>
    <w:p w14:paraId="654DC346">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25.1 公开招标采购项目开标结束后，招标代理机构、采购人或其委托的评标委员会依法对投标单位的资格进行审查。合格投标人不足 3 家的，不得评标。</w:t>
      </w:r>
    </w:p>
    <w:p w14:paraId="16ED39D1">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25.2资格性审查过程中，出现以下情形之一的，其投标被视为无效投标：</w:t>
      </w:r>
    </w:p>
    <w:p w14:paraId="5E7C0C50">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（1）不具备招标文件中规定的合格投标人资格要求的；</w:t>
      </w:r>
    </w:p>
    <w:p w14:paraId="6036580D">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（2）法定代表人参加投标，未按招标文件要求提供法定代表人资格证明的；</w:t>
      </w:r>
    </w:p>
    <w:p w14:paraId="06A3F910">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（3）非法定代表人参加投标，未按招标文件要求提供法定代表人授权委托书的；</w:t>
      </w:r>
    </w:p>
    <w:p w14:paraId="1B6277A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（4）未按招标文件要求提交投标保证金或保证金额不足，投标保证金形式或出具投标保函的银行不符合招标文件要求的。</w:t>
      </w:r>
    </w:p>
    <w:p w14:paraId="784D17C2">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 xml:space="preserve">25.3 评标委员会应当对符合资格的投标单位的投标文件进行符合性审查，以确定其是否满足招标文件的实质性要求。 </w:t>
      </w:r>
    </w:p>
    <w:p w14:paraId="57334A80">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对于投标文件中含义不明确、同类问题表述不一致或者有明显文字</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和计算错误的内</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容，评标委员会应当以书面形式要求</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作出必要的澄清、说明或者补正。</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的澄清、说明或者补正应当采用书面形式，并加盖公章，或者由法定代表人或其授权的代表签字。</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的澄清、说明或者补正不得超出投标文件的范围或者改变投标文件的实质性内容。 </w:t>
      </w:r>
    </w:p>
    <w:p w14:paraId="5F76D964">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评标委员会应当按照招标文件中规定的评标方法和标准</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以及有关法律、法规及规章</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，对符合性审查合格的投标文件进行</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评审</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5ED6349F">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bCs/>
          <w:i w:val="0"/>
          <w:iCs w:val="0"/>
          <w:color w:val="000000" w:themeColor="text1"/>
          <w:kern w:val="0"/>
          <w:sz w:val="24"/>
          <w:szCs w:val="24"/>
          <w:highlight w:val="none"/>
          <w:lang w:bidi="ar"/>
          <w14:textFill>
            <w14:solidFill>
              <w14:schemeClr w14:val="tx1"/>
            </w14:solidFill>
          </w14:textFill>
        </w:rPr>
      </w:pPr>
      <w:r>
        <w:rPr>
          <w:rFonts w:hint="eastAsia" w:ascii="宋体" w:hAnsi="宋体" w:cs="宋体"/>
          <w:b w:val="0"/>
          <w:bCs w:val="0"/>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w:t>
      </w:r>
      <w:r>
        <w:rPr>
          <w:rFonts w:hint="eastAsia" w:ascii="宋体" w:hAnsi="宋体" w:cs="宋体"/>
          <w:b w:val="0"/>
          <w:bCs w:val="0"/>
          <w:i w:val="0"/>
          <w:iCs w:val="0"/>
          <w:color w:val="000000" w:themeColor="text1"/>
          <w:kern w:val="0"/>
          <w:sz w:val="24"/>
          <w:szCs w:val="24"/>
          <w:highlight w:val="none"/>
          <w:lang w:val="en-US" w:eastAsia="zh-CN" w:bidi="ar"/>
          <w14:textFill>
            <w14:solidFill>
              <w14:schemeClr w14:val="tx1"/>
            </w14:solidFill>
          </w14:textFill>
        </w:rPr>
        <w:t>6</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 xml:space="preserve"> </w:t>
      </w:r>
      <w:r>
        <w:rPr>
          <w:rFonts w:hint="eastAsia" w:ascii="宋体" w:hAnsi="宋体" w:eastAsia="宋体" w:cs="宋体"/>
          <w:b/>
          <w:bCs/>
          <w:i w:val="0"/>
          <w:iCs w:val="0"/>
          <w:color w:val="000000" w:themeColor="text1"/>
          <w:kern w:val="0"/>
          <w:sz w:val="24"/>
          <w:szCs w:val="24"/>
          <w:highlight w:val="none"/>
          <w:lang w:bidi="ar"/>
          <w14:textFill>
            <w14:solidFill>
              <w14:schemeClr w14:val="tx1"/>
            </w14:solidFill>
          </w14:textFill>
        </w:rPr>
        <w:t>本次招标采用最低评标价法的，评标结果按投标报价由低到高顺序排列。投标报价相同的，</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则由</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采购人</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代表现场以随机抽取方式确定排序</w:t>
      </w:r>
      <w:r>
        <w:rPr>
          <w:rFonts w:hint="eastAsia" w:ascii="宋体" w:hAnsi="宋体" w:eastAsia="宋体" w:cs="宋体"/>
          <w:b/>
          <w:bCs/>
          <w:i w:val="0"/>
          <w:iCs w:val="0"/>
          <w:color w:val="000000" w:themeColor="text1"/>
          <w:kern w:val="0"/>
          <w:sz w:val="24"/>
          <w:szCs w:val="24"/>
          <w:highlight w:val="none"/>
          <w:lang w:bidi="ar"/>
          <w14:textFill>
            <w14:solidFill>
              <w14:schemeClr w14:val="tx1"/>
            </w14:solidFill>
          </w14:textFill>
        </w:rPr>
        <w:t>。</w:t>
      </w:r>
    </w:p>
    <w:p w14:paraId="3AE783F4">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评标委员会根据全体评标成员签字的原始评标记录和评标结果编写评标报告。 </w:t>
      </w:r>
    </w:p>
    <w:p w14:paraId="1FFC397B">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投标文件报价出现前后不一致的，除招标文件另有规定外，按照下列规定修正： </w:t>
      </w:r>
    </w:p>
    <w:p w14:paraId="112756D1">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（1）投标文件中开标一览表内容与投标文件中相应内容不一致的，以开标一览表为准； </w:t>
      </w:r>
    </w:p>
    <w:p w14:paraId="06124239">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（2）大写金额和小写金额不一致的，以大写金额为准； </w:t>
      </w:r>
    </w:p>
    <w:p w14:paraId="36821176">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同时出现两种以上不一致的，按照前款规定的顺序修正。修正后的报价按照</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的澄清、说明或者补正应当采用书面形式，并加盖公章，或者由法定代表人或其授权的代表签字。</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的澄清、说明或者补正不得超出投标文件的范围或者改变投标文件的实质性内容的规定经</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确认后产生约束力，</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不确认的，其</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投标无效</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485647BA">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评标委员会认为</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的报价明显低于其他通过符合性审查</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的报价，有可能影响产品质量或者不能诚信履约的，应当要求其在评标现场合理的时间内提供书面说明，必要时提交相关证明材料；</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不能证明其报价合理性的，评标委员会应当将其作为</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无效投标处理</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4609E252">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10</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存在下列情况之一的，</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投标无效</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65D9DF28">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（1）未按照招标文件的规定提交投标保证金的；</w:t>
      </w:r>
    </w:p>
    <w:p w14:paraId="194CBC47">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（2）不具备招标文件中规定的资格要求的；</w:t>
      </w:r>
    </w:p>
    <w:p w14:paraId="3026DFDD">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（3）报价超过招标文件中规定的预算金额或者最高限价的； </w:t>
      </w:r>
    </w:p>
    <w:p w14:paraId="1B739D09">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（4）投标文件含有</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不能接受的附加条件的； </w:t>
      </w:r>
    </w:p>
    <w:p w14:paraId="51C7776F">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（5）法律、法规和招标文件规定的其他无效情形。 </w:t>
      </w:r>
    </w:p>
    <w:p w14:paraId="14D32D5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在招标</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活动</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中，出现下列情形之一的，</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应予废标： </w:t>
      </w:r>
    </w:p>
    <w:p w14:paraId="20ACE532">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（1）出现影响</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招标活动</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公正</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出现</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违法、违规行为的； </w:t>
      </w:r>
    </w:p>
    <w:p w14:paraId="177EC404">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的报价均超过了采购预算，</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不能支付的；</w:t>
      </w:r>
    </w:p>
    <w:p w14:paraId="09ACC111">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（3）因重大变故，采购任务取消</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02644C02">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评标委员会发现招标文件存在歧义、重大缺陷导致评标工作无法进行，或者招标文件内容违反国家有关强制性规定的，应当停止评标工作，与</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或者</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招标代理机构</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沟通并作书面记录。</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或者</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招标代理机构</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确认后，应当修改招标文件，重新组织采购活动。 </w:t>
      </w:r>
    </w:p>
    <w:p w14:paraId="618DC6C7">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评标委员会成员对需要共同认定的事项存在争议的，应当按照少数服从多数的原则作出结论。存在不同意见的评标委员会应当在评标报告上签署不同意见及理由，否则视为同意评标报告。 </w:t>
      </w:r>
    </w:p>
    <w:p w14:paraId="6F039DC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评标委员会决定投标的实质性响应，只根据投标本身的真实无误的内容，除查询</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信用记录，其他评审工作不依据外部的证据，但投标有不真实不正确的内容时除外。 </w:t>
      </w:r>
    </w:p>
    <w:p w14:paraId="617932BA">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招标机构不解释中标或落标原因，不退回报价文件和其他报价资料。 </w:t>
      </w:r>
    </w:p>
    <w:p w14:paraId="4D8A6495">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26</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评标原则、标准和方法 </w:t>
      </w:r>
    </w:p>
    <w:p w14:paraId="0FA49F6D">
      <w:pPr>
        <w:keepNext w:val="0"/>
        <w:keepLines/>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26</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评标办法：本项目采用</w:t>
      </w:r>
      <w:r>
        <w:rPr>
          <w:rFonts w:hint="eastAsia" w:ascii="宋体" w:hAnsi="宋体" w:eastAsia="宋体" w:cs="宋体"/>
          <w:b/>
          <w:bCs/>
          <w:i w:val="0"/>
          <w:iCs w:val="0"/>
          <w:color w:val="000000" w:themeColor="text1"/>
          <w:kern w:val="0"/>
          <w:sz w:val="24"/>
          <w:szCs w:val="24"/>
          <w:highlight w:val="none"/>
          <w:lang w:val="zh-CN" w:eastAsia="zh-CN" w:bidi="ar"/>
          <w14:textFill>
            <w14:solidFill>
              <w14:schemeClr w14:val="tx1"/>
            </w14:solidFill>
          </w14:textFill>
        </w:rPr>
        <w:t>最低评标价法</w:t>
      </w:r>
      <w:r>
        <w:rPr>
          <w:rFonts w:hint="eastAsia" w:ascii="宋体" w:hAnsi="宋体" w:eastAsia="宋体" w:cs="宋体"/>
          <w:i w:val="0"/>
          <w:iCs w:val="0"/>
          <w:color w:val="000000" w:themeColor="text1"/>
          <w:kern w:val="0"/>
          <w:sz w:val="24"/>
          <w:szCs w:val="24"/>
          <w:highlight w:val="none"/>
          <w:lang w:val="zh-CN" w:eastAsia="zh-CN" w:bidi="ar"/>
          <w14:textFill>
            <w14:solidFill>
              <w14:schemeClr w14:val="tx1"/>
            </w14:solidFill>
          </w14:textFill>
        </w:rPr>
        <w:t>。</w:t>
      </w:r>
    </w:p>
    <w:p w14:paraId="3F10F9C2">
      <w:pPr>
        <w:keepNext w:val="0"/>
        <w:keepLines/>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lang w:eastAsia="zh-CN"/>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26</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根据招标项目的特点组建专家评标委员会，由评标委员会负责评标工作</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p>
    <w:p w14:paraId="729EB5B7">
      <w:pPr>
        <w:keepNext w:val="0"/>
        <w:keepLines w:val="0"/>
        <w:pageBreakBefore w:val="0"/>
        <w:widowControl/>
        <w:kinsoku/>
        <w:wordWrap/>
        <w:overflowPunct/>
        <w:topLinePunct w:val="0"/>
        <w:autoSpaceDE/>
        <w:autoSpaceDN w:val="0"/>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26</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.3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本次招标采取</w:t>
      </w:r>
      <w:r>
        <w:rPr>
          <w:rFonts w:hint="eastAsia" w:ascii="宋体" w:hAnsi="宋体" w:eastAsia="宋体" w:cs="宋体"/>
          <w:b/>
          <w:bCs/>
          <w:i w:val="0"/>
          <w:iCs w:val="0"/>
          <w:color w:val="000000" w:themeColor="text1"/>
          <w:kern w:val="0"/>
          <w:sz w:val="24"/>
          <w:szCs w:val="24"/>
          <w:highlight w:val="none"/>
          <w:lang w:val="zh-CN" w:eastAsia="zh-CN" w:bidi="ar"/>
          <w14:textFill>
            <w14:solidFill>
              <w14:schemeClr w14:val="tx1"/>
            </w14:solidFill>
          </w14:textFill>
        </w:rPr>
        <w:t>最低评标价法</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，评标结果按投标报价由低到高顺序排列。投标文件满足招标文件全部实质性要求且投标报价最低的</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为排名第一的中标候选人。投标报价相同的，由</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随机抽取确定排序</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p>
    <w:p w14:paraId="1C98458C">
      <w:pPr>
        <w:keepNext w:val="0"/>
        <w:keepLines w:val="0"/>
        <w:pageBreakBefore w:val="0"/>
        <w:kinsoku/>
        <w:overflowPunct/>
        <w:topLinePunct w:val="0"/>
        <w:autoSpaceDE/>
        <w:autoSpaceDN/>
        <w:bidi w:val="0"/>
        <w:adjustRightInd/>
        <w:spacing w:before="52" w:line="500" w:lineRule="exact"/>
        <w:ind w:left="235"/>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（一）</w:t>
      </w:r>
      <w:r>
        <w:rPr>
          <w:rFonts w:hint="eastAsia" w:ascii="宋体" w:hAnsi="宋体" w:cs="宋体"/>
          <w:color w:val="000000" w:themeColor="text1"/>
          <w:spacing w:val="-2"/>
          <w:sz w:val="24"/>
          <w:szCs w:val="24"/>
          <w:highlight w:val="none"/>
          <w:lang w:val="en-US" w:eastAsia="zh-CN"/>
          <w14:textFill>
            <w14:solidFill>
              <w14:schemeClr w14:val="tx1"/>
            </w14:solidFill>
          </w14:textFill>
        </w:rPr>
        <w:t>技术参数、要求</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符合性审查</w:t>
      </w:r>
    </w:p>
    <w:tbl>
      <w:tblPr>
        <w:tblStyle w:val="63"/>
        <w:tblW w:w="938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0"/>
        <w:gridCol w:w="8007"/>
      </w:tblGrid>
      <w:tr w14:paraId="430D0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 w:hRule="atLeast"/>
          <w:jc w:val="center"/>
        </w:trPr>
        <w:tc>
          <w:tcPr>
            <w:tcW w:w="1380" w:type="dxa"/>
            <w:noWrap w:val="0"/>
            <w:vAlign w:val="center"/>
          </w:tcPr>
          <w:p w14:paraId="4E50F53B">
            <w:pPr>
              <w:keepNext w:val="0"/>
              <w:keepLines w:val="0"/>
              <w:pageBreakBefore w:val="0"/>
              <w:kinsoku/>
              <w:overflowPunct/>
              <w:topLinePunct w:val="0"/>
              <w:autoSpaceDE/>
              <w:autoSpaceDN/>
              <w:bidi w:val="0"/>
              <w:adjustRightInd/>
              <w:spacing w:before="40" w:line="5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3"/>
                <w:sz w:val="24"/>
                <w:szCs w:val="24"/>
                <w:highlight w:val="none"/>
                <w14:textFill>
                  <w14:solidFill>
                    <w14:schemeClr w14:val="tx1"/>
                  </w14:solidFill>
                </w14:textFill>
              </w:rPr>
              <w:t>评审点</w:t>
            </w:r>
          </w:p>
        </w:tc>
        <w:tc>
          <w:tcPr>
            <w:tcW w:w="8007" w:type="dxa"/>
            <w:noWrap w:val="0"/>
            <w:vAlign w:val="center"/>
          </w:tcPr>
          <w:p w14:paraId="4417D30A">
            <w:pPr>
              <w:keepNext w:val="0"/>
              <w:keepLines w:val="0"/>
              <w:pageBreakBefore w:val="0"/>
              <w:kinsoku/>
              <w:overflowPunct/>
              <w:topLinePunct w:val="0"/>
              <w:autoSpaceDE/>
              <w:autoSpaceDN/>
              <w:bidi w:val="0"/>
              <w:adjustRightInd/>
              <w:spacing w:before="40" w:line="5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评审内容</w:t>
            </w:r>
          </w:p>
        </w:tc>
      </w:tr>
      <w:tr w14:paraId="14EC1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80" w:hRule="atLeast"/>
          <w:jc w:val="center"/>
        </w:trPr>
        <w:tc>
          <w:tcPr>
            <w:tcW w:w="1380" w:type="dxa"/>
            <w:noWrap w:val="0"/>
            <w:vAlign w:val="center"/>
          </w:tcPr>
          <w:p w14:paraId="422CA9DC">
            <w:pPr>
              <w:keepNext w:val="0"/>
              <w:keepLines w:val="0"/>
              <w:pageBreakBefore w:val="0"/>
              <w:kinsoku/>
              <w:overflowPunct/>
              <w:topLinePunct w:val="0"/>
              <w:autoSpaceDE/>
              <w:autoSpaceDN/>
              <w:bidi w:val="0"/>
              <w:adjustRightInd/>
              <w:spacing w:before="78" w:line="500" w:lineRule="exact"/>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pacing w:val="-2"/>
                <w:sz w:val="24"/>
                <w:szCs w:val="24"/>
                <w:highlight w:val="none"/>
                <w:lang w:val="en-US" w:eastAsia="zh-CN"/>
                <w14:textFill>
                  <w14:solidFill>
                    <w14:schemeClr w14:val="tx1"/>
                  </w14:solidFill>
                </w14:textFill>
              </w:rPr>
              <w:t>技术参数、要求</w:t>
            </w:r>
          </w:p>
        </w:tc>
        <w:tc>
          <w:tcPr>
            <w:tcW w:w="8007" w:type="dxa"/>
            <w:noWrap w:val="0"/>
            <w:vAlign w:val="center"/>
          </w:tcPr>
          <w:p w14:paraId="5C4FEBD8">
            <w:pPr>
              <w:pStyle w:val="65"/>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投标人完全满足或优于招标文件第三章中</w:t>
            </w:r>
            <w:r>
              <w:rPr>
                <w:rFonts w:hint="eastAsia" w:ascii="宋体" w:hAnsi="宋体" w:eastAsia="宋体" w:cs="宋体"/>
                <w:i w:val="0"/>
                <w:iCs w:val="0"/>
                <w:color w:val="000000" w:themeColor="text1"/>
                <w:kern w:val="0"/>
                <w:sz w:val="24"/>
                <w:szCs w:val="24"/>
                <w:highlight w:val="none"/>
                <w:u w:val="none"/>
                <w:lang w:val="zh-CN"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一、</w:t>
            </w:r>
            <w:r>
              <w:rPr>
                <w:rFonts w:hint="eastAsia" w:cs="宋体"/>
                <w:i w:val="0"/>
                <w:iCs w:val="0"/>
                <w:color w:val="000000" w:themeColor="text1"/>
                <w:kern w:val="0"/>
                <w:sz w:val="24"/>
                <w:szCs w:val="24"/>
                <w:highlight w:val="none"/>
                <w:u w:val="none"/>
                <w:lang w:val="en-US" w:eastAsia="zh-CN" w:bidi="ar"/>
                <w14:textFill>
                  <w14:solidFill>
                    <w14:schemeClr w14:val="tx1"/>
                  </w14:solidFill>
                </w14:textFill>
              </w:rPr>
              <w:t>技术参数、要求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”的全部条款。如有任一项不满足或负偏离，视为实质性不响应，则作为无效投标处理。</w:t>
            </w:r>
          </w:p>
          <w:p w14:paraId="068039DC">
            <w:pPr>
              <w:keepNext w:val="0"/>
              <w:keepLines w:val="0"/>
              <w:pageBreakBefore w:val="0"/>
              <w:kinsoku/>
              <w:overflowPunct/>
              <w:topLinePunct w:val="0"/>
              <w:autoSpaceDE/>
              <w:autoSpaceDN/>
              <w:bidi w:val="0"/>
              <w:adjustRightInd/>
              <w:spacing w:before="25" w:line="500" w:lineRule="exact"/>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评审依据：</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投标文件中提供的</w:t>
            </w:r>
            <w:r>
              <w:rPr>
                <w:rFonts w:hint="eastAsia" w:ascii="宋体" w:hAnsi="宋体" w:cs="宋体"/>
                <w:b w:val="0"/>
                <w:bCs w:val="0"/>
                <w:i w:val="0"/>
                <w:iCs w:val="0"/>
                <w:color w:val="000000" w:themeColor="text1"/>
                <w:kern w:val="0"/>
                <w:sz w:val="24"/>
                <w:szCs w:val="24"/>
                <w:highlight w:val="none"/>
                <w:u w:val="none"/>
                <w:lang w:val="en-US" w:eastAsia="zh-CN" w:bidi="ar"/>
                <w14:textFill>
                  <w14:solidFill>
                    <w14:schemeClr w14:val="tx1"/>
                  </w14:solidFill>
                </w14:textFill>
              </w:rPr>
              <w:t>《技术参数、要求响应/偏离表》</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，并加盖</w:t>
            </w:r>
            <w:r>
              <w:rPr>
                <w:rFonts w:hint="eastAsia" w:ascii="宋体" w:hAnsi="宋体" w:cs="宋体"/>
                <w:b w:val="0"/>
                <w:bCs w:val="0"/>
                <w:i w:val="0"/>
                <w:iCs w:val="0"/>
                <w:color w:val="000000" w:themeColor="text1"/>
                <w:kern w:val="0"/>
                <w:sz w:val="24"/>
                <w:szCs w:val="24"/>
                <w:highlight w:val="none"/>
                <w:u w:val="none"/>
                <w:lang w:val="en-US" w:eastAsia="zh-CN" w:bidi="ar"/>
                <w14:textFill>
                  <w14:solidFill>
                    <w14:schemeClr w14:val="tx1"/>
                  </w14:solidFill>
                </w14:textFill>
              </w:rPr>
              <w:t>投标人</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公章。</w:t>
            </w:r>
          </w:p>
        </w:tc>
      </w:tr>
    </w:tbl>
    <w:p w14:paraId="411065CB">
      <w:pPr>
        <w:keepNext w:val="0"/>
        <w:keepLines w:val="0"/>
        <w:pageBreakBefore w:val="0"/>
        <w:kinsoku/>
        <w:overflowPunct/>
        <w:topLinePunct w:val="0"/>
        <w:autoSpaceDE/>
        <w:autoSpaceDN/>
        <w:bidi w:val="0"/>
        <w:adjustRightInd/>
        <w:spacing w:before="146" w:line="500" w:lineRule="exact"/>
        <w:ind w:left="247"/>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7"/>
          <w:sz w:val="24"/>
          <w:szCs w:val="24"/>
          <w:highlight w:val="none"/>
          <w14:textFill>
            <w14:solidFill>
              <w14:schemeClr w14:val="tx1"/>
            </w14:solidFill>
          </w14:textFill>
        </w:rPr>
        <w:t xml:space="preserve">（二） </w:t>
      </w:r>
      <w:r>
        <w:rPr>
          <w:rFonts w:hint="eastAsia" w:ascii="宋体" w:hAnsi="宋体" w:eastAsia="宋体" w:cs="宋体"/>
          <w:color w:val="000000" w:themeColor="text1"/>
          <w:spacing w:val="-17"/>
          <w:sz w:val="24"/>
          <w:szCs w:val="24"/>
          <w:highlight w:val="none"/>
          <w:lang w:val="en-US" w:eastAsia="zh-CN"/>
          <w14:textFill>
            <w14:solidFill>
              <w14:schemeClr w14:val="tx1"/>
            </w14:solidFill>
          </w14:textFill>
        </w:rPr>
        <w:t>商务条款符合性审查</w:t>
      </w:r>
    </w:p>
    <w:tbl>
      <w:tblPr>
        <w:tblStyle w:val="63"/>
        <w:tblW w:w="9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8025"/>
      </w:tblGrid>
      <w:tr w14:paraId="00827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 w:hRule="atLeast"/>
          <w:jc w:val="center"/>
        </w:trPr>
        <w:tc>
          <w:tcPr>
            <w:tcW w:w="1355" w:type="dxa"/>
            <w:noWrap w:val="0"/>
            <w:vAlign w:val="top"/>
          </w:tcPr>
          <w:p w14:paraId="38865E42">
            <w:pPr>
              <w:keepNext w:val="0"/>
              <w:keepLines w:val="0"/>
              <w:pageBreakBefore w:val="0"/>
              <w:kinsoku/>
              <w:overflowPunct/>
              <w:topLinePunct w:val="0"/>
              <w:autoSpaceDE/>
              <w:autoSpaceDN/>
              <w:bidi w:val="0"/>
              <w:adjustRightInd/>
              <w:spacing w:before="38" w:line="5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3"/>
                <w:sz w:val="24"/>
                <w:szCs w:val="24"/>
                <w:highlight w:val="none"/>
                <w14:textFill>
                  <w14:solidFill>
                    <w14:schemeClr w14:val="tx1"/>
                  </w14:solidFill>
                </w14:textFill>
              </w:rPr>
              <w:t>评审点</w:t>
            </w:r>
          </w:p>
        </w:tc>
        <w:tc>
          <w:tcPr>
            <w:tcW w:w="8025" w:type="dxa"/>
            <w:noWrap w:val="0"/>
            <w:vAlign w:val="top"/>
          </w:tcPr>
          <w:p w14:paraId="036DF5A0">
            <w:pPr>
              <w:keepNext w:val="0"/>
              <w:keepLines w:val="0"/>
              <w:pageBreakBefore w:val="0"/>
              <w:kinsoku/>
              <w:overflowPunct/>
              <w:topLinePunct w:val="0"/>
              <w:autoSpaceDE/>
              <w:autoSpaceDN/>
              <w:bidi w:val="0"/>
              <w:adjustRightInd/>
              <w:spacing w:before="38" w:line="50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评审内容</w:t>
            </w:r>
          </w:p>
        </w:tc>
      </w:tr>
      <w:tr w14:paraId="65579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8" w:hRule="atLeast"/>
          <w:jc w:val="center"/>
        </w:trPr>
        <w:tc>
          <w:tcPr>
            <w:tcW w:w="1355" w:type="dxa"/>
            <w:noWrap w:val="0"/>
            <w:vAlign w:val="center"/>
          </w:tcPr>
          <w:p w14:paraId="0C6F9639">
            <w:pPr>
              <w:keepNext w:val="0"/>
              <w:keepLines w:val="0"/>
              <w:pageBreakBefore w:val="0"/>
              <w:kinsoku/>
              <w:overflowPunct/>
              <w:topLinePunct w:val="0"/>
              <w:autoSpaceDE/>
              <w:autoSpaceDN/>
              <w:bidi w:val="0"/>
              <w:adjustRightInd/>
              <w:spacing w:before="78" w:line="50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pacing w:val="-3"/>
                <w:sz w:val="24"/>
                <w:szCs w:val="24"/>
                <w:highlight w:val="none"/>
                <w14:textFill>
                  <w14:solidFill>
                    <w14:schemeClr w14:val="tx1"/>
                  </w14:solidFill>
                </w14:textFill>
              </w:rPr>
              <w:t>商务</w:t>
            </w:r>
            <w:r>
              <w:rPr>
                <w:rFonts w:hint="eastAsia" w:ascii="宋体" w:hAnsi="宋体" w:eastAsia="宋体" w:cs="宋体"/>
                <w:color w:val="000000" w:themeColor="text1"/>
                <w:spacing w:val="-3"/>
                <w:sz w:val="24"/>
                <w:szCs w:val="24"/>
                <w:highlight w:val="none"/>
                <w:lang w:val="en-US" w:eastAsia="zh-CN"/>
                <w14:textFill>
                  <w14:solidFill>
                    <w14:schemeClr w14:val="tx1"/>
                  </w14:solidFill>
                </w14:textFill>
              </w:rPr>
              <w:t>条款</w:t>
            </w:r>
          </w:p>
        </w:tc>
        <w:tc>
          <w:tcPr>
            <w:tcW w:w="8025" w:type="dxa"/>
            <w:noWrap w:val="0"/>
            <w:vAlign w:val="center"/>
          </w:tcPr>
          <w:p w14:paraId="423CC1F2">
            <w:pPr>
              <w:pStyle w:val="65"/>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投标人完全满足或优于招标文件第三章中</w:t>
            </w:r>
            <w:r>
              <w:rPr>
                <w:rFonts w:hint="eastAsia" w:ascii="宋体" w:hAnsi="宋体" w:eastAsia="宋体" w:cs="宋体"/>
                <w:i w:val="0"/>
                <w:iCs w:val="0"/>
                <w:color w:val="000000" w:themeColor="text1"/>
                <w:kern w:val="0"/>
                <w:sz w:val="24"/>
                <w:szCs w:val="24"/>
                <w:highlight w:val="none"/>
                <w:u w:val="none"/>
                <w:lang w:val="zh-CN"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二、商务条款”的全部条款。如有任一项不满足或负偏离，视为实质性不响应，则作为无效投标处理。</w:t>
            </w:r>
          </w:p>
          <w:p w14:paraId="16A8437E">
            <w:pPr>
              <w:keepNext w:val="0"/>
              <w:keepLines w:val="0"/>
              <w:pageBreakBefore w:val="0"/>
              <w:kinsoku/>
              <w:overflowPunct/>
              <w:topLinePunct w:val="0"/>
              <w:autoSpaceDE/>
              <w:autoSpaceDN/>
              <w:bidi w:val="0"/>
              <w:adjustRightInd/>
              <w:spacing w:before="25" w:line="50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评审依据：</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投标文件中提供的</w:t>
            </w:r>
            <w:r>
              <w:rPr>
                <w:rFonts w:hint="eastAsia" w:ascii="宋体" w:hAnsi="宋体" w:cs="宋体"/>
                <w:b w:val="0"/>
                <w:bCs w:val="0"/>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商务条款响应/偏离表</w:t>
            </w:r>
            <w:r>
              <w:rPr>
                <w:rFonts w:hint="eastAsia" w:ascii="宋体" w:hAnsi="宋体" w:cs="宋体"/>
                <w:b w:val="0"/>
                <w:bCs w:val="0"/>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b w:val="0"/>
                <w:bCs w:val="0"/>
                <w:color w:val="000000" w:themeColor="text1"/>
                <w:kern w:val="0"/>
                <w:sz w:val="24"/>
                <w:szCs w:val="24"/>
                <w:highlight w:val="none"/>
                <w:lang w:eastAsia="zh-CN"/>
                <w14:textFill>
                  <w14:solidFill>
                    <w14:schemeClr w14:val="tx1"/>
                  </w14:solidFill>
                </w14:textFill>
              </w:rPr>
              <w:t>，并</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加盖</w:t>
            </w:r>
            <w:r>
              <w:rPr>
                <w:rFonts w:hint="eastAsia" w:ascii="宋体" w:hAnsi="宋体" w:cs="宋体"/>
                <w:b w:val="0"/>
                <w:bCs w:val="0"/>
                <w:i w:val="0"/>
                <w:iCs w:val="0"/>
                <w:color w:val="000000" w:themeColor="text1"/>
                <w:kern w:val="0"/>
                <w:sz w:val="24"/>
                <w:szCs w:val="24"/>
                <w:highlight w:val="none"/>
                <w:u w:val="none"/>
                <w:lang w:val="en-US" w:eastAsia="zh-CN" w:bidi="ar"/>
                <w14:textFill>
                  <w14:solidFill>
                    <w14:schemeClr w14:val="tx1"/>
                  </w14:solidFill>
                </w14:textFill>
              </w:rPr>
              <w:t>投标人</w:t>
            </w:r>
            <w:r>
              <w:rPr>
                <w:rFonts w:hint="eastAsia" w:ascii="宋体" w:hAnsi="宋体" w:eastAsia="宋体" w:cs="宋体"/>
                <w:b w:val="0"/>
                <w:bCs w:val="0"/>
                <w:i w:val="0"/>
                <w:iCs w:val="0"/>
                <w:color w:val="000000" w:themeColor="text1"/>
                <w:kern w:val="0"/>
                <w:sz w:val="24"/>
                <w:szCs w:val="24"/>
                <w:highlight w:val="none"/>
                <w:u w:val="none"/>
                <w:lang w:val="en-US" w:eastAsia="zh-CN" w:bidi="ar"/>
                <w14:textFill>
                  <w14:solidFill>
                    <w14:schemeClr w14:val="tx1"/>
                  </w14:solidFill>
                </w14:textFill>
              </w:rPr>
              <w:t>公章。</w:t>
            </w:r>
          </w:p>
        </w:tc>
      </w:tr>
    </w:tbl>
    <w:p w14:paraId="5D5B77CD">
      <w:pPr>
        <w:pStyle w:val="13"/>
        <w:keepNext w:val="0"/>
        <w:pageBreakBefore w:val="0"/>
        <w:overflowPunct/>
        <w:autoSpaceDE/>
        <w:bidi w:val="0"/>
        <w:spacing w:line="500" w:lineRule="exact"/>
        <w:textAlignment w:val="auto"/>
        <w:rPr>
          <w:rFonts w:hint="eastAsia"/>
          <w:color w:val="000000" w:themeColor="text1"/>
          <w:highlight w:val="none"/>
          <w14:textFill>
            <w14:solidFill>
              <w14:schemeClr w14:val="tx1"/>
            </w14:solidFill>
          </w14:textFill>
        </w:rPr>
      </w:pPr>
    </w:p>
    <w:p w14:paraId="49100AE8">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27</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关于评标</w:t>
      </w:r>
    </w:p>
    <w:p w14:paraId="28D00D26">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每个评委应本着客观、公正的原则独立给出评价意见</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2932780E">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每个评委应公平对待每个投标方，仔细研读投标文件</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7CD82AA1">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 评委之间不得相互串通进行评标</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44F31605">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.4 评委不得试图影响其他评委的评价意见</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76EA07AB">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.5 由工作人员负责主持整个评标工作的进度。 </w:t>
      </w:r>
    </w:p>
    <w:p w14:paraId="4C56E05A">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28</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关于保密 </w:t>
      </w:r>
    </w:p>
    <w:p w14:paraId="3918F181">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评委不得私下接触</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28800D2C">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评委不得接受</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的财物或其他好处； </w:t>
      </w:r>
    </w:p>
    <w:p w14:paraId="2C4DA003">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28</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.3 评委不得透露评标过程中的任何情况。 </w:t>
      </w:r>
    </w:p>
    <w:p w14:paraId="4760789B">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29</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关于评标责任 </w:t>
      </w:r>
    </w:p>
    <w:p w14:paraId="1B93EAED">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评委应在其书面评审意见上签字确认； </w:t>
      </w:r>
    </w:p>
    <w:p w14:paraId="56043BFA">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29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.2 评委对其所提出的评审意见承担个人责任。 </w:t>
      </w:r>
    </w:p>
    <w:p w14:paraId="32070EDC">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30</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评标流程 </w:t>
      </w:r>
    </w:p>
    <w:p w14:paraId="772076C8">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审查、评价投标文件是否符合招标文件的商务、技术等实质性要求； </w:t>
      </w:r>
    </w:p>
    <w:p w14:paraId="7CDBBEDF">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要求</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对投标文件有关事项作出澄清或者说明； </w:t>
      </w:r>
    </w:p>
    <w:p w14:paraId="60629BC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.3 对投标文件进行比较和评价； </w:t>
      </w:r>
    </w:p>
    <w:p w14:paraId="08B14338">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.4 确定</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中标候选人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名单，以及根据</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委托直接确定</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7CE09A74">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31</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关于评委费 </w:t>
      </w:r>
    </w:p>
    <w:p w14:paraId="489F45BD">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31</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根据“谁受益，谁负担”的原则。 </w:t>
      </w:r>
    </w:p>
    <w:p w14:paraId="62E949A9">
      <w:pPr>
        <w:keepNext w:val="0"/>
        <w:keepLines w:val="0"/>
        <w:pageBreakBefore w:val="0"/>
        <w:widowControl/>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（五）意外情况的情形和处理</w:t>
      </w:r>
    </w:p>
    <w:p w14:paraId="18DEDADC">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32</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意外情况的情形 </w:t>
      </w:r>
    </w:p>
    <w:p w14:paraId="68EBC11E">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32</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 因客观原因造成无法采购活动正常进行或者无法保证采购活动信息安全，应采取意外情况的处理措施。</w:t>
      </w:r>
    </w:p>
    <w:p w14:paraId="7BE829D3">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33</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意外情况的处理 </w:t>
      </w:r>
    </w:p>
    <w:p w14:paraId="6867464E">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33</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出现上述情况，当日（工作时间内）可排除的，采购恢复进行；如当日无法排除的，采购活动终止，重新组织采购活动。 </w:t>
      </w:r>
    </w:p>
    <w:p w14:paraId="35F1B9AC">
      <w:pPr>
        <w:keepNext w:val="0"/>
        <w:keepLines w:val="0"/>
        <w:pageBreakBefore w:val="0"/>
        <w:widowControl/>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（六）</w:t>
      </w:r>
      <w:r>
        <w:rPr>
          <w:rFonts w:hint="eastAsia" w:ascii="宋体" w:hAnsi="宋体" w:eastAsia="宋体" w:cs="宋体"/>
          <w:b/>
          <w:i w:val="0"/>
          <w:iCs w:val="0"/>
          <w:color w:val="000000" w:themeColor="text1"/>
          <w:kern w:val="0"/>
          <w:sz w:val="24"/>
          <w:szCs w:val="24"/>
          <w:highlight w:val="none"/>
          <w:lang w:eastAsia="zh-CN" w:bidi="ar"/>
          <w14:textFill>
            <w14:solidFill>
              <w14:schemeClr w14:val="tx1"/>
            </w14:solidFill>
          </w14:textFill>
        </w:rPr>
        <w:t>中标候选人</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的确定</w:t>
      </w:r>
    </w:p>
    <w:p w14:paraId="5301BFD3">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outlineLvl w:val="9"/>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34</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.中标候选人的确定</w:t>
      </w:r>
    </w:p>
    <w:p w14:paraId="39111D1C">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eastAsia="宋体" w:cs="宋体"/>
          <w:b/>
          <w:bCs/>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cs="宋体"/>
          <w:b w:val="0"/>
          <w:bCs w:val="0"/>
          <w:i w:val="0"/>
          <w:iCs w:val="0"/>
          <w:color w:val="000000" w:themeColor="text1"/>
          <w:kern w:val="0"/>
          <w:sz w:val="24"/>
          <w:szCs w:val="24"/>
          <w:highlight w:val="none"/>
          <w:lang w:val="en-US" w:eastAsia="zh-CN" w:bidi="ar"/>
          <w14:textFill>
            <w14:solidFill>
              <w14:schemeClr w14:val="tx1"/>
            </w14:solidFill>
          </w14:textFill>
        </w:rPr>
        <w:t>34</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.1由评标专家组按照招标文件的要求和条件，对各</w:t>
      </w:r>
      <w:r>
        <w:rPr>
          <w:rFonts w:hint="eastAsia" w:ascii="宋体" w:hAnsi="宋体" w:cs="宋体"/>
          <w:b w:val="0"/>
          <w:bCs w:val="0"/>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的投标文件进行评议</w:t>
      </w:r>
      <w:r>
        <w:rPr>
          <w:rFonts w:hint="eastAsia" w:ascii="宋体" w:hAnsi="宋体" w:cs="宋体"/>
          <w:b w:val="0"/>
          <w:bCs w:val="0"/>
          <w:i w:val="0"/>
          <w:iCs w:val="0"/>
          <w:color w:val="000000" w:themeColor="text1"/>
          <w:kern w:val="0"/>
          <w:sz w:val="24"/>
          <w:szCs w:val="24"/>
          <w:highlight w:val="none"/>
          <w:lang w:eastAsia="zh-CN" w:bidi="ar"/>
          <w14:textFill>
            <w14:solidFill>
              <w14:schemeClr w14:val="tx1"/>
            </w14:solidFill>
          </w14:textFill>
        </w:rPr>
        <w:t>。</w:t>
      </w:r>
    </w:p>
    <w:p w14:paraId="50A12AAD">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default"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val="0"/>
          <w:bCs w:val="0"/>
          <w:i w:val="0"/>
          <w:iCs w:val="0"/>
          <w:color w:val="000000" w:themeColor="text1"/>
          <w:kern w:val="0"/>
          <w:sz w:val="24"/>
          <w:szCs w:val="24"/>
          <w:highlight w:val="none"/>
          <w:lang w:val="en-US" w:eastAsia="zh-CN" w:bidi="ar"/>
          <w14:textFill>
            <w14:solidFill>
              <w14:schemeClr w14:val="tx1"/>
            </w14:solidFill>
          </w14:textFill>
        </w:rPr>
        <w:t>34</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.2</w:t>
      </w: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中标人确定方式：</w:t>
      </w:r>
      <w:r>
        <w:rPr>
          <w:rFonts w:hint="eastAsia" w:ascii="宋体" w:hAnsi="宋体" w:cs="宋体"/>
          <w:b/>
          <w:bCs/>
          <w:color w:val="000000" w:themeColor="text1"/>
          <w:kern w:val="0"/>
          <w:sz w:val="24"/>
          <w:szCs w:val="24"/>
          <w:highlight w:val="none"/>
          <w:lang w:eastAsia="zh-CN"/>
          <w14:textFill>
            <w14:solidFill>
              <w14:schemeClr w14:val="tx1"/>
            </w14:solidFill>
          </w14:textFill>
        </w:rPr>
        <w:t>投标文件满足招标文件全部实质性要求，</w:t>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评标委员会按照</w:t>
      </w:r>
      <w:r>
        <w:rPr>
          <w:rFonts w:hint="eastAsia" w:ascii="宋体" w:hAnsi="宋体" w:cs="宋体"/>
          <w:b/>
          <w:bCs/>
          <w:color w:val="000000" w:themeColor="text1"/>
          <w:kern w:val="0"/>
          <w:sz w:val="24"/>
          <w:szCs w:val="24"/>
          <w:highlight w:val="none"/>
          <w:lang w:eastAsia="zh-CN"/>
          <w14:textFill>
            <w14:solidFill>
              <w14:schemeClr w14:val="tx1"/>
            </w14:solidFill>
          </w14:textFill>
        </w:rPr>
        <w:t>投标报价</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由低到高顺序，推荐前三名中标候选人，并确定投标报价最低的投标人为排名第一的中标候选人，</w:t>
      </w:r>
      <w:r>
        <w:rPr>
          <w:rFonts w:hint="eastAsia" w:ascii="宋体" w:hAnsi="宋体" w:cs="宋体"/>
          <w:b/>
          <w:bCs/>
          <w:color w:val="000000" w:themeColor="text1"/>
          <w:kern w:val="0"/>
          <w:sz w:val="24"/>
          <w:szCs w:val="24"/>
          <w:highlight w:val="none"/>
          <w:lang w:eastAsia="zh-CN"/>
          <w14:textFill>
            <w14:solidFill>
              <w14:schemeClr w14:val="tx1"/>
            </w14:solidFill>
          </w14:textFill>
        </w:rPr>
        <w:t>投标报价相同的，由采购人随机抽取确定排序</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。如排名第一的中标候选人未能及时履约，</w:t>
      </w:r>
      <w:r>
        <w:rPr>
          <w:rFonts w:hint="eastAsia"/>
          <w:b/>
          <w:bCs/>
          <w:color w:val="000000" w:themeColor="text1"/>
          <w:sz w:val="24"/>
          <w:szCs w:val="24"/>
          <w:highlight w:val="none"/>
          <w:lang w:val="en-US" w:eastAsia="zh-CN"/>
          <w14:textFill>
            <w14:solidFill>
              <w14:schemeClr w14:val="tx1"/>
            </w14:solidFill>
          </w14:textFill>
        </w:rPr>
        <w:t>采购人</w:t>
      </w:r>
      <w:r>
        <w:rPr>
          <w:rFonts w:hint="eastAsia"/>
          <w:b/>
          <w:bCs/>
          <w:color w:val="000000" w:themeColor="text1"/>
          <w:sz w:val="24"/>
          <w:szCs w:val="24"/>
          <w:highlight w:val="none"/>
          <w:lang w:eastAsia="zh-CN"/>
          <w14:textFill>
            <w14:solidFill>
              <w14:schemeClr w14:val="tx1"/>
            </w14:solidFill>
          </w14:textFill>
        </w:rPr>
        <w:t>有</w:t>
      </w:r>
      <w:r>
        <w:rPr>
          <w:rFonts w:hint="eastAsia" w:eastAsia="宋体" w:cs="Times New Roman"/>
          <w:b/>
          <w:bCs/>
          <w:color w:val="000000" w:themeColor="text1"/>
          <w:sz w:val="24"/>
          <w:szCs w:val="24"/>
          <w:highlight w:val="none"/>
          <w:lang w:eastAsia="zh-CN"/>
          <w14:textFill>
            <w14:solidFill>
              <w14:schemeClr w14:val="tx1"/>
            </w14:solidFill>
          </w14:textFill>
        </w:rPr>
        <w:t>权取消其中标候选人资格</w:t>
      </w:r>
      <w:r>
        <w:rPr>
          <w:rFonts w:hint="eastAsia"/>
          <w:b/>
          <w:bCs/>
          <w:color w:val="000000" w:themeColor="text1"/>
          <w:sz w:val="24"/>
          <w:szCs w:val="24"/>
          <w:highlight w:val="none"/>
          <w14:textFill>
            <w14:solidFill>
              <w14:schemeClr w14:val="tx1"/>
            </w14:solidFill>
          </w14:textFill>
        </w:rPr>
        <w:t>并上报主管部门</w:t>
      </w:r>
      <w:r>
        <w:rPr>
          <w:rFonts w:hint="eastAsia" w:eastAsia="宋体" w:cs="Times New Roman"/>
          <w:b/>
          <w:bCs/>
          <w:color w:val="000000" w:themeColor="text1"/>
          <w:sz w:val="24"/>
          <w:szCs w:val="24"/>
          <w:highlight w:val="none"/>
          <w:lang w:eastAsia="zh-CN"/>
          <w14:textFill>
            <w14:solidFill>
              <w14:schemeClr w14:val="tx1"/>
            </w14:solidFill>
          </w14:textFill>
        </w:rPr>
        <w:t>；</w:t>
      </w:r>
      <w:r>
        <w:rPr>
          <w:rFonts w:hint="eastAsia" w:eastAsia="宋体" w:cs="Times New Roman"/>
          <w:b/>
          <w:bCs/>
          <w:color w:val="000000" w:themeColor="text1"/>
          <w:sz w:val="24"/>
          <w:szCs w:val="24"/>
          <w:highlight w:val="none"/>
          <w14:textFill>
            <w14:solidFill>
              <w14:schemeClr w14:val="tx1"/>
            </w14:solidFill>
          </w14:textFill>
        </w:rPr>
        <w:t>在此情况下</w:t>
      </w:r>
      <w:r>
        <w:rPr>
          <w:rFonts w:hint="eastAsia" w:cs="Times New Roman"/>
          <w:b/>
          <w:bCs/>
          <w:color w:val="000000" w:themeColor="text1"/>
          <w:sz w:val="24"/>
          <w:szCs w:val="24"/>
          <w:highlight w:val="none"/>
          <w:lang w:val="en-US" w:eastAsia="zh-CN"/>
          <w14:textFill>
            <w14:solidFill>
              <w14:schemeClr w14:val="tx1"/>
            </w14:solidFill>
          </w14:textFill>
        </w:rPr>
        <w:t>采购人</w:t>
      </w:r>
      <w:r>
        <w:rPr>
          <w:rFonts w:hint="eastAsia" w:eastAsia="宋体" w:cs="Times New Roman"/>
          <w:b/>
          <w:bCs/>
          <w:color w:val="000000" w:themeColor="text1"/>
          <w:sz w:val="24"/>
          <w:szCs w:val="24"/>
          <w:highlight w:val="none"/>
          <w14:textFill>
            <w14:solidFill>
              <w14:schemeClr w14:val="tx1"/>
            </w14:solidFill>
          </w14:textFill>
        </w:rPr>
        <w:t>可以</w:t>
      </w:r>
      <w:r>
        <w:rPr>
          <w:rFonts w:hint="eastAsia" w:eastAsia="宋体" w:cs="Times New Roman"/>
          <w:b/>
          <w:bCs/>
          <w:color w:val="000000" w:themeColor="text1"/>
          <w:sz w:val="24"/>
          <w:szCs w:val="24"/>
          <w:highlight w:val="none"/>
          <w:lang w:val="en-US" w:eastAsia="zh-CN"/>
          <w14:textFill>
            <w14:solidFill>
              <w14:schemeClr w14:val="tx1"/>
            </w14:solidFill>
          </w14:textFill>
        </w:rPr>
        <w:t>以</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排名第一的中标候选人的中标价</w:t>
      </w:r>
      <w:r>
        <w:rPr>
          <w:rFonts w:hint="eastAsia" w:eastAsia="宋体" w:cs="Times New Roman"/>
          <w:b/>
          <w:bCs/>
          <w:color w:val="000000" w:themeColor="text1"/>
          <w:sz w:val="24"/>
          <w:szCs w:val="24"/>
          <w:highlight w:val="none"/>
          <w14:textFill>
            <w14:solidFill>
              <w14:schemeClr w14:val="tx1"/>
            </w14:solidFill>
          </w14:textFill>
        </w:rPr>
        <w:t>与</w:t>
      </w:r>
      <w:r>
        <w:rPr>
          <w:rFonts w:hint="eastAsia" w:eastAsia="宋体" w:cs="Times New Roman"/>
          <w:b/>
          <w:bCs/>
          <w:color w:val="000000" w:themeColor="text1"/>
          <w:sz w:val="24"/>
          <w:szCs w:val="24"/>
          <w:highlight w:val="none"/>
          <w:lang w:eastAsia="zh-CN"/>
          <w14:textFill>
            <w14:solidFill>
              <w14:schemeClr w14:val="tx1"/>
            </w14:solidFill>
          </w14:textFill>
        </w:rPr>
        <w:t>排名第二的</w:t>
      </w:r>
      <w:r>
        <w:rPr>
          <w:rFonts w:hint="eastAsia" w:eastAsia="宋体" w:cs="Times New Roman"/>
          <w:b/>
          <w:bCs/>
          <w:color w:val="000000" w:themeColor="text1"/>
          <w:sz w:val="24"/>
          <w:szCs w:val="24"/>
          <w:highlight w:val="none"/>
          <w14:textFill>
            <w14:solidFill>
              <w14:schemeClr w14:val="tx1"/>
            </w14:solidFill>
          </w14:textFill>
        </w:rPr>
        <w:t>中标候选人签订采购合同，以此类推；</w:t>
      </w:r>
      <w:r>
        <w:rPr>
          <w:rFonts w:hint="eastAsia" w:cs="Times New Roman"/>
          <w:b/>
          <w:bCs/>
          <w:color w:val="000000" w:themeColor="text1"/>
          <w:sz w:val="24"/>
          <w:szCs w:val="24"/>
          <w:highlight w:val="none"/>
          <w:lang w:val="en-US" w:eastAsia="zh-CN"/>
          <w14:textFill>
            <w14:solidFill>
              <w14:schemeClr w14:val="tx1"/>
            </w14:solidFill>
          </w14:textFill>
        </w:rPr>
        <w:t>采购人</w:t>
      </w:r>
      <w:r>
        <w:rPr>
          <w:rFonts w:hint="eastAsia" w:eastAsia="宋体" w:cs="Times New Roman"/>
          <w:b/>
          <w:bCs/>
          <w:color w:val="000000" w:themeColor="text1"/>
          <w:sz w:val="24"/>
          <w:szCs w:val="24"/>
          <w:highlight w:val="none"/>
          <w:lang w:eastAsia="zh-CN"/>
          <w14:textFill>
            <w14:solidFill>
              <w14:schemeClr w14:val="tx1"/>
            </w14:solidFill>
          </w14:textFill>
        </w:rPr>
        <w:t>亦可</w:t>
      </w:r>
      <w:r>
        <w:rPr>
          <w:rFonts w:hint="eastAsia" w:eastAsia="宋体" w:cs="Times New Roman"/>
          <w:b/>
          <w:bCs/>
          <w:color w:val="000000" w:themeColor="text1"/>
          <w:sz w:val="24"/>
          <w:szCs w:val="24"/>
          <w:highlight w:val="none"/>
          <w14:textFill>
            <w14:solidFill>
              <w14:schemeClr w14:val="tx1"/>
            </w14:solidFill>
          </w14:textFill>
        </w:rPr>
        <w:t>重新组织招标。</w:t>
      </w:r>
    </w:p>
    <w:p w14:paraId="36FD8608">
      <w:pPr>
        <w:pStyle w:val="53"/>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34</w:t>
      </w:r>
      <w:r>
        <w:rPr>
          <w:rFonts w:hint="eastAsia" w:ascii="宋体" w:hAnsi="宋体" w:eastAsia="宋体" w:cs="宋体"/>
          <w:color w:val="000000" w:themeColor="text1"/>
          <w:sz w:val="24"/>
          <w:szCs w:val="24"/>
          <w:highlight w:val="none"/>
          <w:lang w:val="en-US" w:eastAsia="zh-CN"/>
          <w14:textFill>
            <w14:solidFill>
              <w14:schemeClr w14:val="tx1"/>
            </w14:solidFill>
          </w14:textFill>
        </w:rPr>
        <w:t>.3 评标委员会根据全体评标成员签字的原始评标记录和评标结果编写评标报告。</w:t>
      </w:r>
    </w:p>
    <w:p w14:paraId="1F3611BC">
      <w:pPr>
        <w:pStyle w:val="53"/>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34</w:t>
      </w:r>
      <w:r>
        <w:rPr>
          <w:rFonts w:hint="eastAsia" w:ascii="宋体" w:hAnsi="宋体" w:eastAsia="宋体" w:cs="宋体"/>
          <w:color w:val="000000" w:themeColor="text1"/>
          <w:sz w:val="24"/>
          <w:szCs w:val="24"/>
          <w:highlight w:val="none"/>
          <w:lang w:val="en-US" w:eastAsia="zh-CN"/>
          <w14:textFill>
            <w14:solidFill>
              <w14:schemeClr w14:val="tx1"/>
            </w14:solidFill>
          </w14:textFill>
        </w:rPr>
        <w:t>.4 评标委员会成员对需要共同认定的事项存在争议的，应当按照少数服从多数的原则作出结论。持不同意见的评标委员会成员应当在评标报告上签署不同意见及理由，否则视为同意评标报告。</w:t>
      </w:r>
    </w:p>
    <w:p w14:paraId="7FB729BE">
      <w:pPr>
        <w:keepNext w:val="0"/>
        <w:keepLines w:val="0"/>
        <w:pageBreakBefore w:val="0"/>
        <w:widowControl/>
        <w:kinsoku/>
        <w:overflowPunct/>
        <w:topLinePunct w:val="0"/>
        <w:autoSpaceDE/>
        <w:autoSpaceDN/>
        <w:bidi w:val="0"/>
        <w:adjustRightInd/>
        <w:spacing w:line="500" w:lineRule="exact"/>
        <w:jc w:val="center"/>
        <w:textAlignment w:val="auto"/>
        <w:outlineLvl w:val="9"/>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（七）中标、</w:t>
      </w:r>
      <w:r>
        <w:rPr>
          <w:rFonts w:hint="eastAsia" w:ascii="宋体" w:hAnsi="宋体" w:cs="宋体"/>
          <w:b/>
          <w:i w:val="0"/>
          <w:iCs w:val="0"/>
          <w:color w:val="000000" w:themeColor="text1"/>
          <w:kern w:val="0"/>
          <w:sz w:val="24"/>
          <w:szCs w:val="24"/>
          <w:highlight w:val="none"/>
          <w:lang w:eastAsia="zh-CN" w:bidi="ar"/>
          <w14:textFill>
            <w14:solidFill>
              <w14:schemeClr w14:val="tx1"/>
            </w14:solidFill>
          </w14:textFill>
        </w:rPr>
        <w:t>招标代理</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服务费和合同</w:t>
      </w:r>
    </w:p>
    <w:p w14:paraId="664D49E4">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35</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中标</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候选人公示及中标公告</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  </w:t>
      </w:r>
    </w:p>
    <w:p w14:paraId="785E856A">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b w:val="0"/>
          <w:bCs w:val="0"/>
          <w:i w:val="0"/>
          <w:iCs w:val="0"/>
          <w:color w:val="000000" w:themeColor="text1"/>
          <w:kern w:val="0"/>
          <w:sz w:val="24"/>
          <w:szCs w:val="24"/>
          <w:highlight w:val="none"/>
          <w:lang w:val="en-US" w:eastAsia="zh-CN" w:bidi="ar"/>
          <w14:textFill>
            <w14:solidFill>
              <w14:schemeClr w14:val="tx1"/>
            </w14:solidFill>
          </w14:textFill>
        </w:rPr>
        <w:t>35</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cs="宋体"/>
          <w:color w:val="000000" w:themeColor="text1"/>
          <w:kern w:val="0"/>
          <w:sz w:val="24"/>
          <w:szCs w:val="24"/>
          <w:highlight w:val="none"/>
          <w:lang w:eastAsia="zh-CN"/>
          <w14:textFill>
            <w14:solidFill>
              <w14:schemeClr w14:val="tx1"/>
            </w14:solidFill>
          </w14:textFill>
        </w:rPr>
        <w:t>采购人</w:t>
      </w:r>
      <w:r>
        <w:rPr>
          <w:rFonts w:hint="eastAsia" w:ascii="宋体" w:hAnsi="宋体" w:eastAsia="宋体" w:cs="宋体"/>
          <w:color w:val="000000" w:themeColor="text1"/>
          <w:kern w:val="0"/>
          <w:sz w:val="24"/>
          <w:szCs w:val="24"/>
          <w:highlight w:val="none"/>
          <w14:textFill>
            <w14:solidFill>
              <w14:schemeClr w14:val="tx1"/>
            </w14:solidFill>
          </w14:textFill>
        </w:rPr>
        <w:t>应当自收到评标报告之日起</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日内</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通过阳光采购服务平台公示中标候选人，公示期不得少于3日</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p>
    <w:p w14:paraId="32CEA676">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val="0"/>
          <w:bCs w:val="0"/>
          <w:i w:val="0"/>
          <w:iCs w:val="0"/>
          <w:color w:val="000000" w:themeColor="text1"/>
          <w:kern w:val="0"/>
          <w:sz w:val="24"/>
          <w:szCs w:val="24"/>
          <w:highlight w:val="none"/>
          <w:lang w:val="en-US" w:eastAsia="zh-CN" w:bidi="ar"/>
          <w14:textFill>
            <w14:solidFill>
              <w14:schemeClr w14:val="tx1"/>
            </w14:solidFill>
          </w14:textFill>
        </w:rPr>
        <w:t>35</w:t>
      </w:r>
      <w:r>
        <w:rPr>
          <w:rFonts w:hint="eastAsia"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b/>
          <w:bCs/>
          <w:i w:val="0"/>
          <w:iCs w:val="0"/>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中标候选人公示结束在三日内通过阳光采购服务平台公示中标结果公告，公告期限不得少于1日。</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021CF2A2">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36</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的确定</w:t>
      </w:r>
    </w:p>
    <w:p w14:paraId="1835EAE4">
      <w:pPr>
        <w:keepNext w:val="0"/>
        <w:keepLines w:val="0"/>
        <w:pageBreakBefore w:val="0"/>
        <w:widowControl/>
        <w:kinsoku/>
        <w:wordWrap w:val="0"/>
        <w:overflowPunct/>
        <w:topLinePunct w:val="0"/>
        <w:autoSpaceDE/>
        <w:autoSpaceDN/>
        <w:bidi w:val="0"/>
        <w:adjustRightInd/>
        <w:snapToGrid/>
        <w:spacing w:line="500" w:lineRule="exact"/>
        <w:ind w:firstLine="480" w:firstLineChars="200"/>
        <w:jc w:val="left"/>
        <w:textAlignment w:val="auto"/>
        <w:outlineLvl w:val="9"/>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36.1在评标报告确定的中标候选人名单中按顺序确定中标人。中标候选人并列的，由采购人或者采购人委托评标委员会按照招标文件规定的方式确定中标人;招标文件未规定的，采取随机抽取的方式确定。</w:t>
      </w:r>
    </w:p>
    <w:p w14:paraId="1922BF33">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37</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中标通知书 </w:t>
      </w:r>
    </w:p>
    <w:p w14:paraId="3DC57FC0">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37</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在公告中标结果的同时，</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或者招标代理机构应当向中标单位发出中标通知书。</w:t>
      </w:r>
    </w:p>
    <w:p w14:paraId="6F9E7D98">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38</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b/>
          <w:i w:val="0"/>
          <w:iCs w:val="0"/>
          <w:color w:val="000000" w:themeColor="text1"/>
          <w:kern w:val="0"/>
          <w:sz w:val="24"/>
          <w:szCs w:val="24"/>
          <w:highlight w:val="none"/>
          <w:lang w:eastAsia="zh-CN" w:bidi="ar"/>
          <w14:textFill>
            <w14:solidFill>
              <w14:schemeClr w14:val="tx1"/>
            </w14:solidFill>
          </w14:textFill>
        </w:rPr>
        <w:t>招标代理</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服务费</w:t>
      </w:r>
    </w:p>
    <w:p w14:paraId="1D8A9758">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auto"/>
          <w:kern w:val="0"/>
          <w:sz w:val="24"/>
          <w:szCs w:val="24"/>
          <w:highlight w:val="none"/>
          <w:lang w:val="zh-CN" w:eastAsia="zh-CN" w:bidi="ar"/>
        </w:rPr>
      </w:pPr>
      <w:r>
        <w:rPr>
          <w:rFonts w:hint="eastAsia" w:ascii="宋体" w:hAnsi="宋体" w:eastAsia="宋体" w:cs="宋体"/>
          <w:i w:val="0"/>
          <w:iCs w:val="0"/>
          <w:color w:val="auto"/>
          <w:kern w:val="0"/>
          <w:sz w:val="24"/>
          <w:szCs w:val="24"/>
          <w:highlight w:val="none"/>
          <w:lang w:val="en-US" w:eastAsia="zh-CN" w:bidi="ar"/>
        </w:rPr>
        <w:t>38</w:t>
      </w:r>
      <w:r>
        <w:rPr>
          <w:rFonts w:hint="eastAsia" w:ascii="宋体" w:hAnsi="宋体" w:eastAsia="宋体" w:cs="宋体"/>
          <w:i w:val="0"/>
          <w:iCs w:val="0"/>
          <w:color w:val="auto"/>
          <w:kern w:val="0"/>
          <w:sz w:val="24"/>
          <w:szCs w:val="24"/>
          <w:highlight w:val="none"/>
          <w:lang w:val="zh-CN" w:eastAsia="zh-CN" w:bidi="ar"/>
        </w:rPr>
        <w:t>.1 本次招标所产生的相关费用由中标单位支付，请各</w:t>
      </w:r>
      <w:r>
        <w:rPr>
          <w:rFonts w:hint="eastAsia" w:ascii="宋体" w:hAnsi="宋体" w:eastAsia="宋体" w:cs="宋体"/>
          <w:i w:val="0"/>
          <w:iCs w:val="0"/>
          <w:color w:val="auto"/>
          <w:kern w:val="0"/>
          <w:sz w:val="24"/>
          <w:szCs w:val="24"/>
          <w:highlight w:val="none"/>
          <w:lang w:val="en-US" w:eastAsia="zh-CN" w:bidi="ar"/>
        </w:rPr>
        <w:t>投标人</w:t>
      </w:r>
      <w:r>
        <w:rPr>
          <w:rFonts w:hint="eastAsia" w:ascii="宋体" w:hAnsi="宋体" w:eastAsia="宋体" w:cs="宋体"/>
          <w:i w:val="0"/>
          <w:iCs w:val="0"/>
          <w:color w:val="auto"/>
          <w:kern w:val="0"/>
          <w:sz w:val="24"/>
          <w:szCs w:val="24"/>
          <w:highlight w:val="none"/>
          <w:lang w:val="zh-CN" w:eastAsia="zh-CN" w:bidi="ar"/>
        </w:rPr>
        <w:t>在报价时充</w:t>
      </w:r>
    </w:p>
    <w:p w14:paraId="468BA5BF">
      <w:pPr>
        <w:keepNext w:val="0"/>
        <w:keepLines w:val="0"/>
        <w:pageBreakBefore w:val="0"/>
        <w:widowControl/>
        <w:kinsoku/>
        <w:overflowPunct/>
        <w:topLinePunct w:val="0"/>
        <w:autoSpaceDE/>
        <w:autoSpaceDN/>
        <w:bidi w:val="0"/>
        <w:adjustRightInd/>
        <w:spacing w:line="500" w:lineRule="exact"/>
        <w:jc w:val="left"/>
        <w:textAlignment w:val="auto"/>
        <w:outlineLvl w:val="9"/>
        <w:rPr>
          <w:rFonts w:hint="eastAsia" w:ascii="宋体" w:hAnsi="宋体" w:eastAsia="宋体" w:cs="宋体"/>
          <w:i w:val="0"/>
          <w:iCs w:val="0"/>
          <w:color w:val="auto"/>
          <w:kern w:val="0"/>
          <w:sz w:val="24"/>
          <w:szCs w:val="24"/>
          <w:highlight w:val="none"/>
          <w:lang w:val="zh-CN" w:eastAsia="zh-CN" w:bidi="ar"/>
        </w:rPr>
      </w:pPr>
      <w:r>
        <w:rPr>
          <w:rFonts w:hint="eastAsia" w:ascii="宋体" w:hAnsi="宋体" w:eastAsia="宋体" w:cs="宋体"/>
          <w:i w:val="0"/>
          <w:iCs w:val="0"/>
          <w:color w:val="auto"/>
          <w:kern w:val="0"/>
          <w:sz w:val="24"/>
          <w:szCs w:val="24"/>
          <w:highlight w:val="none"/>
          <w:lang w:val="zh-CN" w:eastAsia="zh-CN" w:bidi="ar"/>
        </w:rPr>
        <w:t>分考虑这一因素。向中标人收取中标服务费，具体收费标准：参照“计价格[2002]1980号文”和“发改价格〔2011〕534号文”有关规定，在领取中标通知书前由中标人支付。</w:t>
      </w:r>
    </w:p>
    <w:p w14:paraId="437FF978">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38.2 平台</w:t>
      </w:r>
      <w:r>
        <w:rPr>
          <w:rFonts w:hint="eastAsia" w:ascii="宋体" w:hAnsi="宋体" w:eastAsia="宋体" w:cs="宋体"/>
          <w:i w:val="0"/>
          <w:iCs w:val="0"/>
          <w:color w:val="auto"/>
          <w:kern w:val="0"/>
          <w:sz w:val="24"/>
          <w:szCs w:val="24"/>
          <w:highlight w:val="none"/>
          <w:lang w:val="zh-CN" w:eastAsia="zh-CN" w:bidi="ar"/>
        </w:rPr>
        <w:t>费用（按代理服务费的15%）收取</w:t>
      </w:r>
      <w:r>
        <w:rPr>
          <w:rFonts w:hint="eastAsia" w:ascii="宋体" w:hAnsi="宋体" w:eastAsia="宋体" w:cs="宋体"/>
          <w:i w:val="0"/>
          <w:iCs w:val="0"/>
          <w:color w:val="auto"/>
          <w:kern w:val="0"/>
          <w:sz w:val="24"/>
          <w:szCs w:val="24"/>
          <w:highlight w:val="none"/>
          <w:lang w:val="en-US" w:eastAsia="zh-CN" w:bidi="ar"/>
        </w:rPr>
        <w:t>及其他费用。</w:t>
      </w:r>
    </w:p>
    <w:p w14:paraId="2DB719A8">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auto"/>
          <w:kern w:val="0"/>
          <w:sz w:val="24"/>
          <w:szCs w:val="24"/>
          <w:highlight w:val="none"/>
          <w:lang w:val="zh-CN" w:eastAsia="zh-CN" w:bidi="ar"/>
        </w:rPr>
      </w:pPr>
      <w:r>
        <w:rPr>
          <w:rFonts w:hint="eastAsia" w:ascii="宋体" w:hAnsi="宋体" w:eastAsia="宋体" w:cs="宋体"/>
          <w:i w:val="0"/>
          <w:iCs w:val="0"/>
          <w:color w:val="auto"/>
          <w:kern w:val="0"/>
          <w:sz w:val="24"/>
          <w:szCs w:val="24"/>
          <w:highlight w:val="none"/>
          <w:lang w:val="en-US" w:eastAsia="zh-CN" w:bidi="ar"/>
        </w:rPr>
        <w:t>38.1和38.2项费用均由中标人在收到代理服务费通知后3日内向招标代理机构交纳。交纳相关费用后，招标代理机构向中标人正式发出中标通知书。</w:t>
      </w:r>
    </w:p>
    <w:p w14:paraId="3D085794">
      <w:pPr>
        <w:keepNext w:val="0"/>
        <w:keepLines w:val="0"/>
        <w:pageBreakBefore w:val="0"/>
        <w:widowControl/>
        <w:kinsoku/>
        <w:overflowPunct/>
        <w:topLinePunct w:val="0"/>
        <w:autoSpaceDE/>
        <w:autoSpaceDN/>
        <w:bidi w:val="0"/>
        <w:adjustRightInd/>
        <w:spacing w:line="500" w:lineRule="exact"/>
        <w:ind w:firstLine="482" w:firstLineChars="200"/>
        <w:jc w:val="left"/>
        <w:textAlignment w:val="auto"/>
        <w:outlineLvl w:val="9"/>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39</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履约保证金 </w:t>
      </w:r>
    </w:p>
    <w:p w14:paraId="5FFB6665">
      <w:pPr>
        <w:keepNext w:val="0"/>
        <w:keepLines w:val="0"/>
        <w:pageBreakBefore w:val="0"/>
        <w:widowControl/>
        <w:kinsoku/>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在收到中标通知书后，若招标文件中有约明</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在与</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签订采购合同之前，应向</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提交履约保证金的按投标文件中规定的履约保证金缴纳。履约保证金按</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的要求汇入</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指定账户。 </w:t>
      </w:r>
    </w:p>
    <w:p w14:paraId="028A22C4">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.2履约保证金用于补偿因</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不能完成其合同义务而使</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蒙受的损失。 </w:t>
      </w:r>
    </w:p>
    <w:p w14:paraId="3332A839">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如果中标单位没有按本须知“第</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39</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.1条”规定执行，招标代理机构将按</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招标文件</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规定不予退还其交纳的投标保证金。</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可以</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在</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评审报告推荐的</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中标候选人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名单</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，确定</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其他候选人为中标单位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，也可以重新开展采购活动</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3E61D0CE">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39</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.4履约保证金期满后，</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按照招标文件相关要求</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，退回其履约保证金。 </w:t>
      </w:r>
    </w:p>
    <w:p w14:paraId="1792E624">
      <w:pPr>
        <w:keepNext w:val="0"/>
        <w:keepLines w:val="0"/>
        <w:pageBreakBefore w:val="0"/>
        <w:widowControl/>
        <w:kinsoku/>
        <w:wordWrap/>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 xml:space="preserve">签订合同 </w:t>
      </w:r>
    </w:p>
    <w:p w14:paraId="3B92AF21">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.1 </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应当自中标通知书发出之日起30日内，按照招标文件和</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投标文件的规定，与</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签订书面合同。所签订的合同不得对招标文件确定的事项和</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投标文件作实质性修改。</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不得向</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提出任何不合理的要求作为签订合同条件。 </w:t>
      </w:r>
    </w:p>
    <w:p w14:paraId="201E9E31">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 招标文件、</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的投标文件及评标过程中有关澄清文件均为签订合同的依据。 </w:t>
      </w:r>
    </w:p>
    <w:p w14:paraId="63E6AE3A">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.3中标通知书是合同的一个组成部分。 </w:t>
      </w:r>
    </w:p>
    <w:p w14:paraId="42812B96">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.4</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与</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应当根据合同的约定依法履行合同义务。采购合同的履行、违约责任和解决争议的方法等适用《中华人民共和国</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民法典</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 </w:t>
      </w:r>
    </w:p>
    <w:p w14:paraId="382F733D">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.5</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应当加强对</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的履约管理，并按照采购合同约定，及时向</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支付采购资金。对于</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违反采购合同约定的行为，</w:t>
      </w:r>
      <w:r>
        <w:rPr>
          <w:rFonts w:hint="eastAsia" w:ascii="宋体" w:hAnsi="宋体" w:cs="宋体"/>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应当及时处理，依法追究其违约责任。 </w:t>
      </w:r>
    </w:p>
    <w:p w14:paraId="306EE95A">
      <w:pPr>
        <w:keepNext w:val="0"/>
        <w:keepLines w:val="0"/>
        <w:pageBreakBefore w:val="0"/>
        <w:widowControl/>
        <w:kinsoku/>
        <w:wordWrap/>
        <w:overflowPunct/>
        <w:topLinePunct w:val="0"/>
        <w:autoSpaceDE/>
        <w:autoSpaceDN/>
        <w:bidi w:val="0"/>
        <w:adjustRightInd/>
        <w:spacing w:line="500" w:lineRule="exact"/>
        <w:ind w:firstLine="480" w:firstLineChars="200"/>
        <w:jc w:val="left"/>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.6</w:t>
      </w:r>
      <w:r>
        <w:rPr>
          <w:rFonts w:hint="eastAsia" w:ascii="宋体" w:hAnsi="宋体" w:eastAsia="宋体" w:cs="宋体"/>
          <w:b w:val="0"/>
          <w:bCs w:val="0"/>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拒绝与</w:t>
      </w:r>
      <w:r>
        <w:rPr>
          <w:rFonts w:hint="eastAsia" w:ascii="宋体" w:hAnsi="宋体" w:cs="宋体"/>
          <w:b w:val="0"/>
          <w:bCs w:val="0"/>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签订合同的，</w:t>
      </w:r>
      <w:r>
        <w:rPr>
          <w:rFonts w:hint="eastAsia" w:ascii="宋体" w:hAnsi="宋体" w:cs="宋体"/>
          <w:b w:val="0"/>
          <w:bCs w:val="0"/>
          <w:i w:val="0"/>
          <w:iCs w:val="0"/>
          <w:color w:val="000000" w:themeColor="text1"/>
          <w:kern w:val="0"/>
          <w:sz w:val="24"/>
          <w:szCs w:val="24"/>
          <w:highlight w:val="none"/>
          <w:lang w:eastAsia="zh-CN" w:bidi="ar"/>
          <w14:textFill>
            <w14:solidFill>
              <w14:schemeClr w14:val="tx1"/>
            </w14:solidFill>
          </w14:textFill>
        </w:rPr>
        <w:t>采购人</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可以按照评审报告推荐的</w:t>
      </w:r>
      <w:r>
        <w:rPr>
          <w:rFonts w:hint="eastAsia" w:ascii="宋体" w:hAnsi="宋体" w:eastAsia="宋体" w:cs="宋体"/>
          <w:b w:val="0"/>
          <w:bCs w:val="0"/>
          <w:i w:val="0"/>
          <w:iCs w:val="0"/>
          <w:color w:val="000000" w:themeColor="text1"/>
          <w:kern w:val="0"/>
          <w:sz w:val="24"/>
          <w:szCs w:val="24"/>
          <w:highlight w:val="none"/>
          <w:lang w:eastAsia="zh-CN" w:bidi="ar"/>
          <w14:textFill>
            <w14:solidFill>
              <w14:schemeClr w14:val="tx1"/>
            </w14:solidFill>
          </w14:textFill>
        </w:rPr>
        <w:t>中标候选人</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名单，确定</w:t>
      </w:r>
      <w:r>
        <w:rPr>
          <w:rFonts w:hint="eastAsia" w:ascii="宋体" w:hAnsi="宋体" w:eastAsia="宋体" w:cs="宋体"/>
          <w:b w:val="0"/>
          <w:bCs w:val="0"/>
          <w:i w:val="0"/>
          <w:iCs w:val="0"/>
          <w:color w:val="000000" w:themeColor="text1"/>
          <w:kern w:val="0"/>
          <w:sz w:val="24"/>
          <w:szCs w:val="24"/>
          <w:highlight w:val="none"/>
          <w:lang w:eastAsia="zh-CN" w:bidi="ar"/>
          <w14:textFill>
            <w14:solidFill>
              <w14:schemeClr w14:val="tx1"/>
            </w14:solidFill>
          </w14:textFill>
        </w:rPr>
        <w:t>其他</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候选人为</w:t>
      </w:r>
      <w:r>
        <w:rPr>
          <w:rFonts w:hint="eastAsia" w:ascii="宋体" w:hAnsi="宋体" w:eastAsia="宋体" w:cs="宋体"/>
          <w:b w:val="0"/>
          <w:bCs w:val="0"/>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，也可以重新开展</w:t>
      </w:r>
      <w:r>
        <w:rPr>
          <w:rFonts w:hint="eastAsia" w:ascii="宋体" w:hAnsi="宋体" w:eastAsia="宋体" w:cs="宋体"/>
          <w:b w:val="0"/>
          <w:bCs w:val="0"/>
          <w:i w:val="0"/>
          <w:iCs w:val="0"/>
          <w:color w:val="000000" w:themeColor="text1"/>
          <w:kern w:val="0"/>
          <w:sz w:val="24"/>
          <w:szCs w:val="24"/>
          <w:highlight w:val="none"/>
          <w:lang w:val="en-US" w:eastAsia="zh-CN" w:bidi="ar"/>
          <w14:textFill>
            <w14:solidFill>
              <w14:schemeClr w14:val="tx1"/>
            </w14:solidFill>
          </w14:textFill>
        </w:rPr>
        <w:t>招标</w:t>
      </w:r>
      <w:r>
        <w:rPr>
          <w:rFonts w:hint="eastAsia" w:ascii="宋体" w:hAnsi="宋体" w:eastAsia="宋体" w:cs="宋体"/>
          <w:b w:val="0"/>
          <w:bCs w:val="0"/>
          <w:i w:val="0"/>
          <w:iCs w:val="0"/>
          <w:color w:val="000000" w:themeColor="text1"/>
          <w:kern w:val="0"/>
          <w:sz w:val="24"/>
          <w:szCs w:val="24"/>
          <w:highlight w:val="none"/>
          <w:lang w:bidi="ar"/>
          <w14:textFill>
            <w14:solidFill>
              <w14:schemeClr w14:val="tx1"/>
            </w14:solidFill>
          </w14:textFill>
        </w:rPr>
        <w:t>活动；</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拒绝签订合同的</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中标单位</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不得参加该项目重新开展的</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招标</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活动，</w:t>
      </w:r>
      <w:r>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t>并不予退还其交纳的履约保证金</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p>
    <w:p w14:paraId="78F67DA5">
      <w:pPr>
        <w:keepNext w:val="0"/>
        <w:keepLines w:val="0"/>
        <w:pageBreakBefore w:val="0"/>
        <w:widowControl/>
        <w:kinsoku/>
        <w:wordWrap/>
        <w:overflowPunct/>
        <w:topLinePunct w:val="0"/>
        <w:autoSpaceDE/>
        <w:autoSpaceDN/>
        <w:bidi w:val="0"/>
        <w:adjustRightInd/>
        <w:spacing w:line="500" w:lineRule="exact"/>
        <w:jc w:val="center"/>
        <w:textAlignment w:val="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（八）询问与质疑</w:t>
      </w:r>
    </w:p>
    <w:p w14:paraId="0D054FBA">
      <w:pPr>
        <w:keepNext w:val="0"/>
        <w:keepLines w:val="0"/>
        <w:pageBreakBefore w:val="0"/>
        <w:widowControl/>
        <w:kinsoku/>
        <w:wordWrap/>
        <w:overflowPunct/>
        <w:topLinePunct w:val="0"/>
        <w:autoSpaceDE/>
        <w:autoSpaceDN/>
        <w:bidi w:val="0"/>
        <w:adjustRightInd/>
        <w:spacing w:line="500" w:lineRule="exact"/>
        <w:ind w:firstLine="482" w:firstLineChars="200"/>
        <w:jc w:val="left"/>
        <w:textAlignment w:val="auto"/>
        <w:outlineLvl w:val="9"/>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cs="宋体"/>
          <w:b/>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i w:val="0"/>
          <w:iCs w:val="0"/>
          <w:color w:val="000000" w:themeColor="text1"/>
          <w:kern w:val="0"/>
          <w:sz w:val="24"/>
          <w:szCs w:val="24"/>
          <w:highlight w:val="none"/>
          <w:lang w:bidi="ar"/>
          <w14:textFill>
            <w14:solidFill>
              <w14:schemeClr w14:val="tx1"/>
            </w14:solidFill>
          </w14:textFill>
        </w:rPr>
        <w:t>询问</w:t>
      </w: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和质疑</w:t>
      </w:r>
    </w:p>
    <w:p w14:paraId="5C91ED11">
      <w:pPr>
        <w:pStyle w:val="9"/>
        <w:keepNext w:val="0"/>
        <w:keepLines w:val="0"/>
        <w:pageBreakBefore w:val="0"/>
        <w:widowControl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.1</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对招标活动事项有疑问的，按“关于印发《江西省产权交易所阳光采购服务平台业务规则（试行）的通知》”（赣产权〔2020〕112号）规定可以向</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或者招标代理机构提出询问，</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或者招标代理机构应当在收到询问后3日内对</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依法提出询问作出答复。 </w:t>
      </w:r>
    </w:p>
    <w:p w14:paraId="7087D9B1">
      <w:pPr>
        <w:pStyle w:val="9"/>
        <w:keepNext w:val="0"/>
        <w:keepLines w:val="0"/>
        <w:pageBreakBefore w:val="0"/>
        <w:widowControl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.2按“关于印发《江西省产权交易所阳光采购服务平台业务规则（试行）的通知》”（赣产权〔2020〕112号）规定，</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认为采购公告、资格预审公告、</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招标文件</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、开评标过程、中标候选人公示使自己的权益受到损害的，应当按以下规定期间向</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采购人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或者</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招标代理</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机构提出质疑：</w:t>
      </w:r>
    </w:p>
    <w:p w14:paraId="5A353DC0">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（一）对采购公告或资格预审公告有异议的，应当在公告期间提出；</w:t>
      </w:r>
    </w:p>
    <w:p w14:paraId="77AC105D">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（二）对</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招标文件</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提出质疑的，应当在</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招标文件</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获取截止日之前提出；</w:t>
      </w:r>
    </w:p>
    <w:p w14:paraId="0E177D03">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（三）对开标有异议的，应当在开标期间提出；</w:t>
      </w:r>
    </w:p>
    <w:p w14:paraId="73FEBC29">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（四）对评标结果有异议的，应当在中标候选人公示期间提出；</w:t>
      </w:r>
    </w:p>
    <w:p w14:paraId="099007E6">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（五）对定标结果有异议的，应当在中标人公示期间提出。 </w:t>
      </w:r>
    </w:p>
    <w:p w14:paraId="2857DC72">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.3</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应在法定质疑期内一次性提出针对同一招标程序环节的质疑。 </w:t>
      </w:r>
    </w:p>
    <w:p w14:paraId="774BE0CE">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.4提出质疑的</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应当是参与所质疑项目招标活动的</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 xml:space="preserve">。 </w:t>
      </w:r>
    </w:p>
    <w:p w14:paraId="471DBC8B">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.5潜在</w:t>
      </w: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已依法获取其可质疑的招标文件的，可以对该文件提出质疑。</w:t>
      </w:r>
    </w:p>
    <w:p w14:paraId="41C8ED53">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lang w:val="en-US" w:eastAsia="zh-CN" w:bidi="ar"/>
          <w14:textFill>
            <w14:solidFill>
              <w14:schemeClr w14:val="tx1"/>
            </w14:solidFill>
          </w14:textFill>
        </w:rPr>
        <w:t>41</w:t>
      </w: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.6按“江西省产权交易所上饶办事处印发《阳光采购质疑处理办法》的通知”（饶产权〔2021〕4 号）规定，质疑书应当包括且不仅限于下列内容：</w:t>
      </w:r>
    </w:p>
    <w:p w14:paraId="02091C23">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0" w:rightChars="0"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（一）质疑人和被质疑人的姓名或者名称、通讯地址、邮 编、联系人及联系电话；</w:t>
      </w:r>
    </w:p>
    <w:p w14:paraId="2345540D">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155" w:rightChars="74"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（二）质疑和质疑答复情况说明及相关证明材料；</w:t>
      </w:r>
    </w:p>
    <w:p w14:paraId="1271A709">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155" w:rightChars="74"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（三）具体、明确的质疑事项和与质疑事项相关的质疑请求；</w:t>
      </w:r>
    </w:p>
    <w:p w14:paraId="4C1E0E57">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155" w:rightChars="74"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（四）事实依据；</w:t>
      </w:r>
    </w:p>
    <w:p w14:paraId="33AC40D8">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155" w:rightChars="74"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（五）法律依据；</w:t>
      </w:r>
    </w:p>
    <w:p w14:paraId="10A40F6C">
      <w:pPr>
        <w:pStyle w:val="9"/>
        <w:keepNext w:val="0"/>
        <w:keepLines w:val="0"/>
        <w:pageBreakBefore w:val="0"/>
        <w:shd w:val="clear" w:color="auto" w:fill="auto"/>
        <w:kinsoku/>
        <w:wordWrap/>
        <w:overflowPunct/>
        <w:topLinePunct w:val="0"/>
        <w:autoSpaceDE/>
        <w:autoSpaceDN/>
        <w:bidi w:val="0"/>
        <w:adjustRightInd/>
        <w:snapToGrid w:val="0"/>
        <w:spacing w:line="500" w:lineRule="exact"/>
        <w:ind w:left="0" w:leftChars="0" w:right="155" w:rightChars="74" w:firstLine="480" w:firstLineChars="200"/>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（六）提起质疑的日期。</w:t>
      </w:r>
    </w:p>
    <w:p w14:paraId="7ACA26B6">
      <w:pPr>
        <w:keepNext w:val="0"/>
        <w:keepLines w:val="0"/>
        <w:pageBreakBefore w:val="0"/>
        <w:widowControl/>
        <w:kinsoku/>
        <w:wordWrap/>
        <w:overflowPunct/>
        <w:topLinePunct w:val="0"/>
        <w:autoSpaceDE/>
        <w:autoSpaceDN/>
        <w:bidi w:val="0"/>
        <w:adjustRightInd/>
        <w:snapToGrid w:val="0"/>
        <w:spacing w:line="500" w:lineRule="exact"/>
        <w:ind w:left="0" w:leftChars="0" w:right="0" w:rightChars="0" w:firstLine="480" w:firstLineChars="200"/>
        <w:jc w:val="both"/>
        <w:textAlignment w:val="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质疑人为自然人的，应当由本人签字；质疑人为法人或者其他组织的，应当由法定代表人、主要负责人，或者其委托代理人签字，并加盖公章。</w:t>
      </w:r>
    </w:p>
    <w:p w14:paraId="149889D9">
      <w:pPr>
        <w:keepNext w:val="0"/>
        <w:keepLines w:val="0"/>
        <w:pageBreakBefore w:val="0"/>
        <w:widowControl/>
        <w:numPr>
          <w:ilvl w:val="0"/>
          <w:numId w:val="0"/>
        </w:numPr>
        <w:kinsoku/>
        <w:wordWrap/>
        <w:overflowPunct/>
        <w:topLinePunct w:val="0"/>
        <w:autoSpaceDE/>
        <w:autoSpaceDN/>
        <w:bidi w:val="0"/>
        <w:adjustRightInd/>
        <w:spacing w:line="500" w:lineRule="exact"/>
        <w:jc w:val="center"/>
        <w:textAlignment w:val="auto"/>
        <w:outlineLvl w:val="9"/>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i w:val="0"/>
          <w:iCs w:val="0"/>
          <w:color w:val="000000" w:themeColor="text1"/>
          <w:kern w:val="0"/>
          <w:sz w:val="24"/>
          <w:szCs w:val="24"/>
          <w:highlight w:val="none"/>
          <w:lang w:val="en-US" w:eastAsia="zh-CN" w:bidi="ar"/>
          <w14:textFill>
            <w14:solidFill>
              <w14:schemeClr w14:val="tx1"/>
            </w14:solidFill>
          </w14:textFill>
        </w:rPr>
        <w:t>（九）其他规定</w:t>
      </w:r>
    </w:p>
    <w:p w14:paraId="66CCEFD0">
      <w:pPr>
        <w:pStyle w:val="7"/>
        <w:keepNext w:val="0"/>
        <w:pageBreakBefore w:val="0"/>
        <w:numPr>
          <w:ilvl w:val="0"/>
          <w:numId w:val="0"/>
        </w:numPr>
        <w:overflowPunct/>
        <w:autoSpaceDE/>
        <w:bidi w:val="0"/>
        <w:spacing w:line="500" w:lineRule="exact"/>
        <w:ind w:firstLine="458" w:firstLineChars="200"/>
        <w:textAlignment w:val="auto"/>
        <w:rPr>
          <w:rFonts w:hint="eastAsia"/>
          <w:b/>
          <w:bCs/>
          <w:color w:val="000000" w:themeColor="text1"/>
          <w:spacing w:val="-6"/>
          <w:highlight w:val="none"/>
          <w:lang w:val="en-US" w:eastAsia="zh-CN"/>
          <w14:textFill>
            <w14:solidFill>
              <w14:schemeClr w14:val="tx1"/>
            </w14:solidFill>
          </w14:textFill>
        </w:rPr>
      </w:pPr>
      <w:r>
        <w:rPr>
          <w:rFonts w:hint="eastAsia"/>
          <w:b/>
          <w:bCs/>
          <w:color w:val="000000" w:themeColor="text1"/>
          <w:spacing w:val="-6"/>
          <w:highlight w:val="none"/>
          <w:lang w:val="en-US" w:eastAsia="zh-CN"/>
          <w14:textFill>
            <w14:solidFill>
              <w14:schemeClr w14:val="tx1"/>
            </w14:solidFill>
          </w14:textFill>
        </w:rPr>
        <w:t>42.采购政策</w:t>
      </w:r>
    </w:p>
    <w:p w14:paraId="068A3A15">
      <w:pPr>
        <w:pStyle w:val="7"/>
        <w:keepNext w:val="0"/>
        <w:pageBreakBefore w:val="0"/>
        <w:numPr>
          <w:ilvl w:val="0"/>
          <w:numId w:val="0"/>
        </w:numPr>
        <w:overflowPunct/>
        <w:autoSpaceDE/>
        <w:bidi w:val="0"/>
        <w:spacing w:line="500" w:lineRule="exact"/>
        <w:ind w:firstLine="456" w:firstLineChars="200"/>
        <w:textAlignment w:val="auto"/>
        <w:rPr>
          <w:rFonts w:hint="eastAsia" w:ascii="宋体" w:hAnsi="宋体" w:eastAsia="宋体" w:cs="宋体"/>
          <w:b/>
          <w:i w:val="0"/>
          <w:iCs w:val="0"/>
          <w:color w:val="000000" w:themeColor="text1"/>
          <w:spacing w:val="-6"/>
          <w:kern w:val="0"/>
          <w:sz w:val="32"/>
          <w:szCs w:val="32"/>
          <w:highlight w:val="none"/>
          <w:lang w:val="en-US" w:eastAsia="zh-CN" w:bidi="ar"/>
          <w14:textFill>
            <w14:solidFill>
              <w14:schemeClr w14:val="tx1"/>
            </w14:solidFill>
          </w14:textFill>
        </w:rPr>
      </w:pPr>
      <w:r>
        <w:rPr>
          <w:rFonts w:hint="eastAsia"/>
          <w:color w:val="000000" w:themeColor="text1"/>
          <w:spacing w:val="-6"/>
          <w:highlight w:val="none"/>
          <w:lang w:val="en-US" w:eastAsia="zh-CN"/>
          <w14:textFill>
            <w14:solidFill>
              <w14:schemeClr w14:val="tx1"/>
            </w14:solidFill>
          </w14:textFill>
        </w:rPr>
        <w:t>42.1 本次采购人为国有企业，招标文件参考上饶市国有资产监督管理委员会相关文件要求及其相关法规，但不执行关于促进中小企业发展、限制采购进口产品、强制采购节能产品等政策。</w:t>
      </w:r>
      <w:bookmarkStart w:id="13" w:name="_Toc4242"/>
      <w:bookmarkStart w:id="14" w:name="_Toc24230"/>
    </w:p>
    <w:p w14:paraId="60AE5B0D">
      <w:pPr>
        <w:rPr>
          <w:rFonts w:hint="eastAsia" w:ascii="宋体" w:hAnsi="宋体" w:eastAsia="宋体" w:cs="宋体"/>
          <w:b/>
          <w:i w:val="0"/>
          <w:iCs w:val="0"/>
          <w:color w:val="000000" w:themeColor="text1"/>
          <w:kern w:val="0"/>
          <w:sz w:val="32"/>
          <w:szCs w:val="32"/>
          <w:highlight w:val="none"/>
          <w:lang w:val="en-US" w:eastAsia="zh-CN" w:bidi="ar"/>
          <w14:textFill>
            <w14:solidFill>
              <w14:schemeClr w14:val="tx1"/>
            </w14:solidFill>
          </w14:textFill>
        </w:rPr>
      </w:pPr>
    </w:p>
    <w:p w14:paraId="546D2752">
      <w:pPr>
        <w:pStyle w:val="18"/>
        <w:rPr>
          <w:rFonts w:hint="eastAsia"/>
          <w:highlight w:val="none"/>
          <w:lang w:val="en-US" w:eastAsia="zh-CN"/>
        </w:rPr>
      </w:pPr>
    </w:p>
    <w:p w14:paraId="56CA05C9">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72D0275B">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03C04498">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76275956">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5FCA9A57">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09EF8588">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3C38803E">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45512FDD">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7216AE3A">
      <w:pPr>
        <w:pageBreakBefore w:val="0"/>
        <w:numPr>
          <w:ilvl w:val="0"/>
          <w:numId w:val="0"/>
        </w:numPr>
        <w:topLinePunct w:val="0"/>
        <w:bidi w:val="0"/>
        <w:spacing w:line="360" w:lineRule="auto"/>
        <w:ind w:right="344" w:rightChars="0"/>
        <w:jc w:val="both"/>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p>
    <w:p w14:paraId="44C4B488">
      <w:pPr>
        <w:pageBreakBefore w:val="0"/>
        <w:numPr>
          <w:ilvl w:val="0"/>
          <w:numId w:val="0"/>
        </w:numPr>
        <w:topLinePunct w:val="0"/>
        <w:bidi w:val="0"/>
        <w:spacing w:line="360" w:lineRule="auto"/>
        <w:ind w:right="344" w:rightChars="0" w:firstLine="643" w:firstLineChars="200"/>
        <w:jc w:val="center"/>
        <w:textAlignment w:val="auto"/>
        <w:outlineLvl w:val="0"/>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pPr>
      <w:bookmarkStart w:id="15" w:name="_Toc32135"/>
      <w:r>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t>第三章</w:t>
      </w:r>
      <w:r>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tab/>
      </w:r>
      <w:bookmarkEnd w:id="13"/>
      <w:bookmarkEnd w:id="14"/>
      <w:r>
        <w:rPr>
          <w:rFonts w:hint="eastAsia" w:ascii="宋体" w:hAnsi="宋体" w:cs="宋体"/>
          <w:b/>
          <w:bCs/>
          <w:i w:val="0"/>
          <w:iCs w:val="0"/>
          <w:color w:val="000000" w:themeColor="text1"/>
          <w:sz w:val="32"/>
          <w:szCs w:val="28"/>
          <w:highlight w:val="none"/>
          <w:lang w:val="en-US" w:eastAsia="zh-CN"/>
          <w14:textFill>
            <w14:solidFill>
              <w14:schemeClr w14:val="tx1"/>
            </w14:solidFill>
          </w14:textFill>
        </w:rPr>
        <w:t>技术参数、要求</w:t>
      </w:r>
      <w:r>
        <w:rPr>
          <w:rFonts w:hint="eastAsia" w:ascii="宋体" w:hAnsi="宋体" w:eastAsia="宋体" w:cs="宋体"/>
          <w:b/>
          <w:bCs/>
          <w:i w:val="0"/>
          <w:iCs w:val="0"/>
          <w:color w:val="000000" w:themeColor="text1"/>
          <w:sz w:val="32"/>
          <w:szCs w:val="28"/>
          <w:highlight w:val="none"/>
          <w:lang w:val="en-US" w:eastAsia="zh-CN"/>
          <w14:textFill>
            <w14:solidFill>
              <w14:schemeClr w14:val="tx1"/>
            </w14:solidFill>
          </w14:textFill>
        </w:rPr>
        <w:t>及商务条款</w:t>
      </w:r>
      <w:bookmarkEnd w:id="15"/>
    </w:p>
    <w:p w14:paraId="74701206">
      <w:pPr>
        <w:keepNext w:val="0"/>
        <w:keepLines w:val="0"/>
        <w:pageBreakBefore w:val="0"/>
        <w:widowControl w:val="0"/>
        <w:kinsoku/>
        <w:wordWrap/>
        <w:overflowPunct/>
        <w:topLinePunct w:val="0"/>
        <w:autoSpaceDE/>
        <w:autoSpaceDN/>
        <w:bidi w:val="0"/>
        <w:adjustRightInd/>
        <w:snapToGrid/>
        <w:spacing w:line="360" w:lineRule="auto"/>
        <w:ind w:firstLine="281" w:firstLineChars="100"/>
        <w:jc w:val="left"/>
        <w:textAlignment w:val="auto"/>
        <w:rPr>
          <w:rFonts w:hint="eastAsia" w:ascii="黑体" w:hAnsi="黑体" w:eastAsia="黑体" w:cs="黑体"/>
          <w:b/>
          <w:color w:val="000000" w:themeColor="text1"/>
          <w:sz w:val="28"/>
          <w:szCs w:val="28"/>
          <w:highlight w:val="none"/>
          <w:lang w:val="en-US" w:eastAsia="zh-CN"/>
          <w14:textFill>
            <w14:solidFill>
              <w14:schemeClr w14:val="tx1"/>
            </w14:solidFill>
          </w14:textFill>
        </w:rPr>
      </w:pPr>
      <w:bookmarkStart w:id="16" w:name="_Toc26837"/>
      <w:bookmarkStart w:id="17" w:name="_Toc13828"/>
      <w:r>
        <w:rPr>
          <w:rFonts w:hint="eastAsia" w:ascii="黑体" w:hAnsi="黑体" w:eastAsia="黑体" w:cs="黑体"/>
          <w:b/>
          <w:color w:val="000000" w:themeColor="text1"/>
          <w:sz w:val="28"/>
          <w:szCs w:val="28"/>
          <w:highlight w:val="none"/>
          <w14:textFill>
            <w14:solidFill>
              <w14:schemeClr w14:val="tx1"/>
            </w14:solidFill>
          </w14:textFill>
        </w:rPr>
        <w:t>一、</w:t>
      </w:r>
      <w:r>
        <w:rPr>
          <w:rFonts w:hint="eastAsia" w:ascii="黑体" w:hAnsi="黑体" w:eastAsia="黑体" w:cs="黑体"/>
          <w:b/>
          <w:i w:val="0"/>
          <w:iCs w:val="0"/>
          <w:color w:val="auto"/>
          <w:kern w:val="0"/>
          <w:sz w:val="28"/>
          <w:szCs w:val="28"/>
          <w:highlight w:val="none"/>
          <w:lang w:val="en-US" w:eastAsia="zh-CN" w:bidi="ar"/>
        </w:rPr>
        <w:t>技术参数、要求</w:t>
      </w:r>
    </w:p>
    <w:p w14:paraId="49F52F4A">
      <w:pPr>
        <w:pStyle w:val="7"/>
        <w:spacing w:line="360" w:lineRule="auto"/>
        <w:rPr>
          <w:rFonts w:hint="default" w:ascii="宋体" w:hAnsi="宋体" w:eastAsia="宋体" w:cs="宋体"/>
          <w:b w:val="0"/>
          <w:bCs/>
          <w:color w:val="auto"/>
          <w:sz w:val="24"/>
          <w:szCs w:val="24"/>
          <w:highlight w:val="none"/>
          <w:lang w:val="en-US" w:eastAsia="zh-CN"/>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i w:val="0"/>
          <w:iCs w:val="0"/>
          <w:color w:val="auto"/>
          <w:kern w:val="0"/>
          <w:sz w:val="24"/>
          <w:szCs w:val="24"/>
          <w:highlight w:val="none"/>
          <w:lang w:val="en-US" w:eastAsia="zh-CN" w:bidi="ar"/>
        </w:rPr>
        <w:t>1、</w:t>
      </w:r>
      <w:r>
        <w:rPr>
          <w:rFonts w:hint="eastAsia" w:cs="宋体"/>
          <w:b w:val="0"/>
          <w:bCs/>
          <w:i w:val="0"/>
          <w:iCs w:val="0"/>
          <w:color w:val="auto"/>
          <w:kern w:val="0"/>
          <w:sz w:val="24"/>
          <w:szCs w:val="24"/>
          <w:highlight w:val="none"/>
          <w:lang w:val="en-US" w:eastAsia="zh-CN" w:bidi="ar"/>
        </w:rPr>
        <w:t>采购需求</w:t>
      </w:r>
    </w:p>
    <w:tbl>
      <w:tblPr>
        <w:tblStyle w:val="1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0"/>
        <w:gridCol w:w="763"/>
        <w:gridCol w:w="2499"/>
        <w:gridCol w:w="401"/>
        <w:gridCol w:w="764"/>
        <w:gridCol w:w="2550"/>
        <w:gridCol w:w="1145"/>
      </w:tblGrid>
      <w:tr w14:paraId="2AAC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64F5">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序号</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193A">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货物名称</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1B5D">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货物参数</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CA77">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单位</w:t>
            </w:r>
          </w:p>
        </w:tc>
        <w:tc>
          <w:tcPr>
            <w:tcW w:w="764" w:type="dxa"/>
            <w:tcBorders>
              <w:top w:val="single" w:color="000000" w:sz="4" w:space="0"/>
              <w:left w:val="single" w:color="000000" w:sz="4" w:space="0"/>
              <w:bottom w:val="single" w:color="000000" w:sz="4" w:space="0"/>
              <w:right w:val="nil"/>
            </w:tcBorders>
            <w:shd w:val="clear" w:color="auto" w:fill="auto"/>
            <w:vAlign w:val="center"/>
          </w:tcPr>
          <w:p w14:paraId="6972CBE8">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数量</w:t>
            </w:r>
          </w:p>
        </w:tc>
        <w:tc>
          <w:tcPr>
            <w:tcW w:w="2550" w:type="dxa"/>
            <w:tcBorders>
              <w:top w:val="single" w:color="000000" w:sz="4" w:space="0"/>
              <w:left w:val="nil"/>
              <w:bottom w:val="single" w:color="000000" w:sz="4" w:space="0"/>
              <w:right w:val="single" w:color="000000" w:sz="4" w:space="0"/>
            </w:tcBorders>
            <w:shd w:val="clear" w:color="auto" w:fill="auto"/>
            <w:noWrap/>
            <w:vAlign w:val="center"/>
          </w:tcPr>
          <w:p w14:paraId="09A9ADF4">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图例</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8B2B">
            <w:pPr>
              <w:keepNext w:val="0"/>
              <w:keepLines w:val="0"/>
              <w:widowControl/>
              <w:suppressLineNumbers w:val="0"/>
              <w:snapToGrid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单价（元）</w:t>
            </w:r>
          </w:p>
        </w:tc>
      </w:tr>
      <w:tr w14:paraId="6C84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F13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080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三门文件柜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120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1.柜体材质：钢（冷轧钢板+ 静电喷塑）</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2.尺寸：长970mm;宽420mm;高1800mm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3.材质厚度：0.6mm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29F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AAF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E1B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742950" cy="1000125"/>
                  <wp:effectExtent l="0" t="0" r="0" b="9525"/>
                  <wp:docPr id="84"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3" descr="IMG_256"/>
                          <pic:cNvPicPr>
                            <a:picLocks noChangeAspect="1"/>
                          </pic:cNvPicPr>
                        </pic:nvPicPr>
                        <pic:blipFill>
                          <a:blip r:embed="rId10"/>
                          <a:stretch>
                            <a:fillRect/>
                          </a:stretch>
                        </pic:blipFill>
                        <pic:spPr>
                          <a:xfrm>
                            <a:off x="0" y="0"/>
                            <a:ext cx="742950" cy="10001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BE0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884.00 </w:t>
            </w:r>
          </w:p>
        </w:tc>
      </w:tr>
      <w:tr w14:paraId="5AB08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554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813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茶水柜（短）</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3B7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尺寸：长800mm;宽400mm;高820mm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A31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BD8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E59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28750" cy="1333500"/>
                  <wp:effectExtent l="0" t="0" r="0" b="0"/>
                  <wp:docPr id="85" name="图片 5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4" descr="IMG_257"/>
                          <pic:cNvPicPr>
                            <a:picLocks noChangeAspect="1"/>
                          </pic:cNvPicPr>
                        </pic:nvPicPr>
                        <pic:blipFill>
                          <a:blip r:embed="rId11"/>
                          <a:stretch>
                            <a:fillRect/>
                          </a:stretch>
                        </pic:blipFill>
                        <pic:spPr>
                          <a:xfrm>
                            <a:off x="0" y="0"/>
                            <a:ext cx="1428750" cy="13335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AAA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850.00 </w:t>
            </w:r>
          </w:p>
        </w:tc>
      </w:tr>
      <w:tr w14:paraId="1F50A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FBE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F71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茶水柜（长）</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6824">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尺寸：长1200mm;宽400mm;高820mm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5D0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D35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8D5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143000"/>
                  <wp:effectExtent l="0" t="0" r="9525" b="0"/>
                  <wp:docPr id="87" name="图片 5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5" descr="IMG_258"/>
                          <pic:cNvPicPr>
                            <a:picLocks noChangeAspect="1"/>
                          </pic:cNvPicPr>
                        </pic:nvPicPr>
                        <pic:blipFill>
                          <a:blip r:embed="rId12"/>
                          <a:stretch>
                            <a:fillRect/>
                          </a:stretch>
                        </pic:blipFill>
                        <pic:spPr>
                          <a:xfrm>
                            <a:off x="0" y="0"/>
                            <a:ext cx="1457325" cy="11430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338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1095.00 </w:t>
            </w:r>
          </w:p>
        </w:tc>
      </w:tr>
      <w:tr w14:paraId="416C2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632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FB0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电话</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FD3E">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1.类型：普通座机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2.功能：来电显示，铃声选择，带通讯录</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0C4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9B3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89E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838200" cy="609600"/>
                  <wp:effectExtent l="0" t="0" r="0" b="0"/>
                  <wp:docPr id="86" name="图片 5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6" descr="IMG_259"/>
                          <pic:cNvPicPr>
                            <a:picLocks noChangeAspect="1"/>
                          </pic:cNvPicPr>
                        </pic:nvPicPr>
                        <pic:blipFill>
                          <a:blip r:embed="rId13"/>
                          <a:stretch>
                            <a:fillRect/>
                          </a:stretch>
                        </pic:blipFill>
                        <pic:spPr>
                          <a:xfrm>
                            <a:off x="0" y="0"/>
                            <a:ext cx="838200" cy="6096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33B1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100.00 </w:t>
            </w:r>
          </w:p>
        </w:tc>
      </w:tr>
      <w:tr w14:paraId="25DAF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BCE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71C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办公桌（1.6米）</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5CC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1.尺寸：长1600mm*宽800mm*高760mm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BBF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D64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CDF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190625" cy="962025"/>
                  <wp:effectExtent l="0" t="0" r="9525" b="9525"/>
                  <wp:docPr id="83" name="图片 5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7" descr="IMG_260"/>
                          <pic:cNvPicPr>
                            <a:picLocks noChangeAspect="1"/>
                          </pic:cNvPicPr>
                        </pic:nvPicPr>
                        <pic:blipFill>
                          <a:blip r:embed="rId14"/>
                          <a:stretch>
                            <a:fillRect/>
                          </a:stretch>
                        </pic:blipFill>
                        <pic:spPr>
                          <a:xfrm>
                            <a:off x="0" y="0"/>
                            <a:ext cx="1190625" cy="9620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4F3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1008.00 </w:t>
            </w:r>
          </w:p>
        </w:tc>
      </w:tr>
      <w:tr w14:paraId="3F77D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01A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995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办公椅</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497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1.尺寸：500mm*550mm*900mm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1.面料：优质西皮皮覆面，厚度适中，透气性强；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2.泡绵：优质高回弹PU泡棉，座面密度≥35KG/m3，背密度≥30KG/m3，回弹性42%，涂防老化变形保护膜。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3.承受压力250kg；根据人体工学原理设计；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4.骨架材质：实木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6.油漆：使用环保油漆，隐孔亚光聚胺酯漆涂饰，五底三面。</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2DC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5D8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07E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847725" cy="1257300"/>
                  <wp:effectExtent l="0" t="0" r="9525" b="0"/>
                  <wp:docPr id="88" name="图片 5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8" descr="IMG_261"/>
                          <pic:cNvPicPr>
                            <a:picLocks noChangeAspect="1"/>
                          </pic:cNvPicPr>
                        </pic:nvPicPr>
                        <pic:blipFill>
                          <a:blip r:embed="rId15"/>
                          <a:stretch>
                            <a:fillRect/>
                          </a:stretch>
                        </pic:blipFill>
                        <pic:spPr>
                          <a:xfrm>
                            <a:off x="0" y="0"/>
                            <a:ext cx="847725" cy="12573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3F7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247.00 </w:t>
            </w:r>
          </w:p>
        </w:tc>
      </w:tr>
      <w:tr w14:paraId="12A9C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B91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032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双门文件柜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7738">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1.柜体材质：钢（冷轧钢板+ 静电喷塑）</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2.尺寸：长850mm;宽390mm;高1800mm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3.材质厚度：0.6mm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BC8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17F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F20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952500" cy="1343025"/>
                  <wp:effectExtent l="0" t="0" r="0" b="9525"/>
                  <wp:docPr id="89" name="图片 5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9" descr="IMG_262"/>
                          <pic:cNvPicPr>
                            <a:picLocks noChangeAspect="1"/>
                          </pic:cNvPicPr>
                        </pic:nvPicPr>
                        <pic:blipFill>
                          <a:blip r:embed="rId16"/>
                          <a:stretch>
                            <a:fillRect/>
                          </a:stretch>
                        </pic:blipFill>
                        <pic:spPr>
                          <a:xfrm>
                            <a:off x="0" y="0"/>
                            <a:ext cx="952500" cy="13430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769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676.00 </w:t>
            </w:r>
          </w:p>
        </w:tc>
      </w:tr>
      <w:tr w14:paraId="6C57C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870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B7E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接待椅（可折叠）</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806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1.尺寸：430mm*480mm*700mm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2.材质：采用优质碳钢骨架，优质黑色网布，透气性优良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3.颜色：黑色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4.海绵：优质高回弹PU泡棉，座面密度≥35KG/m3。</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5.功能：可折叠</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B5A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79D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1DB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247775" cy="1247775"/>
                  <wp:effectExtent l="0" t="0" r="9525" b="9525"/>
                  <wp:docPr id="90" name="图片 6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0" descr="IMG_263"/>
                          <pic:cNvPicPr>
                            <a:picLocks noChangeAspect="1"/>
                          </pic:cNvPicPr>
                        </pic:nvPicPr>
                        <pic:blipFill>
                          <a:blip r:embed="rId17"/>
                          <a:stretch>
                            <a:fillRect/>
                          </a:stretch>
                        </pic:blipFill>
                        <pic:spPr>
                          <a:xfrm>
                            <a:off x="0" y="0"/>
                            <a:ext cx="1247775" cy="12477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B24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169.00 </w:t>
            </w:r>
          </w:p>
        </w:tc>
      </w:tr>
      <w:tr w14:paraId="4F928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AF9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4B6A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组织人事保密柜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993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1.尺寸：2000mm*400mm*2000mm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2.锁具采用电子密码锁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3.柜体材质：钢（加厚冷轧钢板+ 静电喷塑）</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4.材质厚度</w:t>
            </w:r>
            <w:r>
              <w:rPr>
                <w:rFonts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58B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8F2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CAB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028700" cy="923925"/>
                  <wp:effectExtent l="0" t="0" r="0" b="9525"/>
                  <wp:docPr id="91" name="图片 6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1" descr="IMG_264"/>
                          <pic:cNvPicPr>
                            <a:picLocks noChangeAspect="1"/>
                          </pic:cNvPicPr>
                        </pic:nvPicPr>
                        <pic:blipFill>
                          <a:blip r:embed="rId18"/>
                          <a:stretch>
                            <a:fillRect/>
                          </a:stretch>
                        </pic:blipFill>
                        <pic:spPr>
                          <a:xfrm>
                            <a:off x="0" y="0"/>
                            <a:ext cx="1028700" cy="9239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DE4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2275.00 </w:t>
            </w:r>
          </w:p>
        </w:tc>
      </w:tr>
      <w:tr w14:paraId="02379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B0E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4C3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电脑桌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F1E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1.尺寸：1200mm*600mm*760mm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4.五金配件:采用优质五金配件。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使用部位：财务科</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531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D6D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ECF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162050" cy="1076325"/>
                  <wp:effectExtent l="0" t="0" r="0" b="9525"/>
                  <wp:docPr id="92" name="图片 6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2" descr="IMG_265"/>
                          <pic:cNvPicPr>
                            <a:picLocks noChangeAspect="1"/>
                          </pic:cNvPicPr>
                        </pic:nvPicPr>
                        <pic:blipFill>
                          <a:blip r:embed="rId19"/>
                          <a:stretch>
                            <a:fillRect/>
                          </a:stretch>
                        </pic:blipFill>
                        <pic:spPr>
                          <a:xfrm>
                            <a:off x="0" y="0"/>
                            <a:ext cx="1162050" cy="10763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960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494.00 </w:t>
            </w:r>
          </w:p>
        </w:tc>
      </w:tr>
      <w:tr w14:paraId="0E09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D6A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640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电视机</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ED12">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1.尺寸：55寸</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2.国产一线品牌</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3.智能电视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4.主要功能参数：</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能效等级：一级能效</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刷屏率：144Hz</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运行内存/RAM：4GB</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存储内存64GB</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屏幕分辨率：超高清4K</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连接方式：无线/有线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5.包含连接电视线1根、HDMI高清线2根（长度根据现场需求提供）</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923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26B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09CF">
            <w:pPr>
              <w:snapToGrid w:val="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E74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3500.00 </w:t>
            </w:r>
          </w:p>
        </w:tc>
      </w:tr>
      <w:tr w14:paraId="49D76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847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B91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会议桌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E0A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尺寸：2400mm*1200mm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使用部位：调解会议室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FFC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028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8A47">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009650"/>
                  <wp:effectExtent l="0" t="0" r="9525" b="0"/>
                  <wp:docPr id="93" name="图片 6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3" descr="IMG_266"/>
                          <pic:cNvPicPr>
                            <a:picLocks noChangeAspect="1"/>
                          </pic:cNvPicPr>
                        </pic:nvPicPr>
                        <pic:blipFill>
                          <a:blip r:embed="rId20"/>
                          <a:stretch>
                            <a:fillRect/>
                          </a:stretch>
                        </pic:blipFill>
                        <pic:spPr>
                          <a:xfrm>
                            <a:off x="0" y="0"/>
                            <a:ext cx="1457325" cy="10096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E7A5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3640.00 </w:t>
            </w:r>
          </w:p>
        </w:tc>
      </w:tr>
      <w:tr w14:paraId="155C5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4E8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281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会议桌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330E">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桌子尺寸：1200mm*400mm*760mm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使用部位：11F大会议室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1CD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AAF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500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457325"/>
                  <wp:effectExtent l="0" t="0" r="9525" b="9525"/>
                  <wp:docPr id="94" name="图片 6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4" descr="IMG_267"/>
                          <pic:cNvPicPr>
                            <a:picLocks noChangeAspect="1"/>
                          </pic:cNvPicPr>
                        </pic:nvPicPr>
                        <pic:blipFill>
                          <a:blip r:embed="rId21"/>
                          <a:stretch>
                            <a:fillRect/>
                          </a:stretch>
                        </pic:blipFill>
                        <pic:spPr>
                          <a:xfrm>
                            <a:off x="0" y="0"/>
                            <a:ext cx="1457325" cy="14573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B5AB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630.50 </w:t>
            </w:r>
          </w:p>
        </w:tc>
      </w:tr>
      <w:tr w14:paraId="3B3EC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81A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825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主席台桌子</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E20B">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尺寸：长1400mm*宽700mm*高760mm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使用部位：11F大会议室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1D2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E06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AAF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19225" cy="1524000"/>
                  <wp:effectExtent l="0" t="0" r="9525" b="0"/>
                  <wp:docPr id="95" name="图片 6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5" descr="IMG_268"/>
                          <pic:cNvPicPr>
                            <a:picLocks noChangeAspect="1"/>
                          </pic:cNvPicPr>
                        </pic:nvPicPr>
                        <pic:blipFill>
                          <a:blip r:embed="rId22"/>
                          <a:stretch>
                            <a:fillRect/>
                          </a:stretch>
                        </pic:blipFill>
                        <pic:spPr>
                          <a:xfrm>
                            <a:off x="0" y="0"/>
                            <a:ext cx="1419225" cy="15240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2B1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1079.00 </w:t>
            </w:r>
          </w:p>
        </w:tc>
      </w:tr>
      <w:tr w14:paraId="61850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AC0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F36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会议室桌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340E">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尺寸：5400mm*1800mm*760mm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使用部位：11F党组会议室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A4B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E3B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5BF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133475"/>
                  <wp:effectExtent l="0" t="0" r="9525" b="9525"/>
                  <wp:docPr id="96" name="图片 6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6" descr="IMG_269"/>
                          <pic:cNvPicPr>
                            <a:picLocks noChangeAspect="1"/>
                          </pic:cNvPicPr>
                        </pic:nvPicPr>
                        <pic:blipFill>
                          <a:blip r:embed="rId23"/>
                          <a:stretch>
                            <a:fillRect/>
                          </a:stretch>
                        </pic:blipFill>
                        <pic:spPr>
                          <a:xfrm>
                            <a:off x="0" y="0"/>
                            <a:ext cx="1457325" cy="11334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9DD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10790.00 </w:t>
            </w:r>
          </w:p>
        </w:tc>
      </w:tr>
      <w:tr w14:paraId="4CC10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244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BEE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配套椅子</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D76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尺寸：500mm*550mm*900mm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使用部位：11F党组会议室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1.面料：采用优质黑色皮革，透气性优良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2.海绵：采用优质海绵，阻燃级别高且柔软性能好、回弹性高、不变形。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3.椅架采用橡木。</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3DD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DA1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CC07">
            <w:pPr>
              <w:snapToGrid w:val="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704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500.50 </w:t>
            </w:r>
          </w:p>
        </w:tc>
      </w:tr>
      <w:tr w14:paraId="64A02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C8D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83F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双人沙发</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AD27">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尺寸：2100*850*850</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使用部位：10F会客室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1.面料：优质环保皮，透气性强。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2.海绵：定型回弹海绵，密度≥45，表面带有保护面，防氧化软硬适中，回弹好不变形的定型技术，压缩永久变型率小于1.3%，不易变形；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3.框架：实木框架；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4.弹簧：凹形螺旋弹簧。</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DC7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71B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1A0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771525"/>
                  <wp:effectExtent l="0" t="0" r="9525" b="9525"/>
                  <wp:docPr id="97" name="图片 6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7" descr="IMG_270"/>
                          <pic:cNvPicPr>
                            <a:picLocks noChangeAspect="1"/>
                          </pic:cNvPicPr>
                        </pic:nvPicPr>
                        <pic:blipFill>
                          <a:blip r:embed="rId24"/>
                          <a:stretch>
                            <a:fillRect/>
                          </a:stretch>
                        </pic:blipFill>
                        <pic:spPr>
                          <a:xfrm>
                            <a:off x="0" y="0"/>
                            <a:ext cx="1457325" cy="7715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674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2990.00 </w:t>
            </w:r>
          </w:p>
        </w:tc>
      </w:tr>
      <w:tr w14:paraId="373C7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3AB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F97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茶几</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89B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尺寸：1200mm*600mm*400mm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使用部位：10F会客室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7F6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F41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240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057275"/>
                  <wp:effectExtent l="0" t="0" r="9525" b="9525"/>
                  <wp:docPr id="98" name="图片 6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8" descr="IMG_271"/>
                          <pic:cNvPicPr>
                            <a:picLocks noChangeAspect="1"/>
                          </pic:cNvPicPr>
                        </pic:nvPicPr>
                        <pic:blipFill>
                          <a:blip r:embed="rId25"/>
                          <a:stretch>
                            <a:fillRect/>
                          </a:stretch>
                        </pic:blipFill>
                        <pic:spPr>
                          <a:xfrm>
                            <a:off x="0" y="0"/>
                            <a:ext cx="1457325" cy="10572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477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910.00 </w:t>
            </w:r>
          </w:p>
        </w:tc>
      </w:tr>
      <w:tr w14:paraId="3187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05F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D26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木质书柜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08C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尺寸：2860mm*320mm*1980mm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使用部位：11F工会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1.采用优质环保三聚氰胺板，性能和环保要求达到E-1级标准，防潮性能好;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2.封边采用优质硬PVC，热熔胶，大型封边机封边;</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3.优质五金饰面;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4.采用三胺板原纸，颜色由使用单位确定。</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8FC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10F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021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190625" cy="1181100"/>
                  <wp:effectExtent l="0" t="0" r="9525" b="0"/>
                  <wp:docPr id="99" name="图片 6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9" descr="IMG_272"/>
                          <pic:cNvPicPr>
                            <a:picLocks noChangeAspect="1"/>
                          </pic:cNvPicPr>
                        </pic:nvPicPr>
                        <pic:blipFill>
                          <a:blip r:embed="rId26"/>
                          <a:stretch>
                            <a:fillRect/>
                          </a:stretch>
                        </pic:blipFill>
                        <pic:spPr>
                          <a:xfrm>
                            <a:off x="0" y="0"/>
                            <a:ext cx="1190625" cy="11811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64D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5460.00 </w:t>
            </w:r>
          </w:p>
        </w:tc>
      </w:tr>
      <w:tr w14:paraId="6949E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7DD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237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乒乓球台</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0FB1">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使用部位：2F职工之家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尺寸：台长2740mm,台宽1525mm,台高760mm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台面颜色：蓝色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台面材质：25mm 高密度板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是否可调高度：是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物理性能：两台面间隙≤20mm，平整度≤7mm，反弹高度230-260mm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649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369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706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904875"/>
                  <wp:effectExtent l="0" t="0" r="9525" b="9525"/>
                  <wp:docPr id="100" name="图片 7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0" descr="IMG_273"/>
                          <pic:cNvPicPr>
                            <a:picLocks noChangeAspect="1"/>
                          </pic:cNvPicPr>
                        </pic:nvPicPr>
                        <pic:blipFill>
                          <a:blip r:embed="rId27"/>
                          <a:stretch>
                            <a:fillRect/>
                          </a:stretch>
                        </pic:blipFill>
                        <pic:spPr>
                          <a:xfrm>
                            <a:off x="0" y="0"/>
                            <a:ext cx="1457325" cy="9048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E637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10140.00 </w:t>
            </w:r>
          </w:p>
        </w:tc>
      </w:tr>
      <w:tr w14:paraId="74197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561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302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综合训练器</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6E71">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使用部位：2F职工之家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功能要求：</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1.升级大飞鸟</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2.推胸夹胸</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3.高拉中拉下拉</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4.坐姿腿屈伸</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5.划船功能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6.配重块总重大于等于40KG</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00D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515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D60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266825" cy="1276350"/>
                  <wp:effectExtent l="0" t="0" r="9525" b="0"/>
                  <wp:docPr id="101" name="图片 7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1" descr="IMG_274"/>
                          <pic:cNvPicPr>
                            <a:picLocks noChangeAspect="1"/>
                          </pic:cNvPicPr>
                        </pic:nvPicPr>
                        <pic:blipFill>
                          <a:blip r:embed="rId28"/>
                          <a:stretch>
                            <a:fillRect/>
                          </a:stretch>
                        </pic:blipFill>
                        <pic:spPr>
                          <a:xfrm>
                            <a:off x="0" y="0"/>
                            <a:ext cx="1266825" cy="12763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853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10725.00 </w:t>
            </w:r>
          </w:p>
        </w:tc>
      </w:tr>
      <w:tr w14:paraId="0F774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C82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7CD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跑步机</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A53A">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使用部位：2F职工之家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驱动方式：电动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是否可连接APP：可连接</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坡度调节：电动调节</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环保认证：通过国家环保认证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紧急停止装置:配备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折叠方式:跑台折叠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最大承重:150kg</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跑带宽度:</w:t>
            </w:r>
            <w:r>
              <w:rPr>
                <w:rFonts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48cm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A0D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A20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138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200150" cy="1466850"/>
                  <wp:effectExtent l="0" t="0" r="0" b="0"/>
                  <wp:docPr id="102" name="图片 7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2" descr="IMG_275"/>
                          <pic:cNvPicPr>
                            <a:picLocks noChangeAspect="1"/>
                          </pic:cNvPicPr>
                        </pic:nvPicPr>
                        <pic:blipFill>
                          <a:blip r:embed="rId29"/>
                          <a:stretch>
                            <a:fillRect/>
                          </a:stretch>
                        </pic:blipFill>
                        <pic:spPr>
                          <a:xfrm>
                            <a:off x="0" y="0"/>
                            <a:ext cx="1200150" cy="14668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86D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14990.00 </w:t>
            </w:r>
          </w:p>
        </w:tc>
      </w:tr>
      <w:tr w14:paraId="3E77B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220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773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动感单车</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82B1">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使用部位：2F职工之家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基本功能：电动调坡、精细化抗阻、后驱精钢飞轮、公路车手柄、多种骑行模式、APP智能互联</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007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C13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220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28750" cy="1190625"/>
                  <wp:effectExtent l="0" t="0" r="0" b="9525"/>
                  <wp:docPr id="103" name="图片 7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3" descr="IMG_276"/>
                          <pic:cNvPicPr>
                            <a:picLocks noChangeAspect="1"/>
                          </pic:cNvPicPr>
                        </pic:nvPicPr>
                        <pic:blipFill>
                          <a:blip r:embed="rId30"/>
                          <a:stretch>
                            <a:fillRect/>
                          </a:stretch>
                        </pic:blipFill>
                        <pic:spPr>
                          <a:xfrm>
                            <a:off x="0" y="0"/>
                            <a:ext cx="1428750" cy="11906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37F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2990.00 </w:t>
            </w:r>
          </w:p>
        </w:tc>
      </w:tr>
      <w:tr w14:paraId="4B8B5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6FC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232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储物柜（16门）</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11BF">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尺寸：1800mm*1600mm*400mm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使用部位：2F职工之家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5.五金配件：采用优质五金配件(含门锁)。</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B7F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BB8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80A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295400" cy="1571625"/>
                  <wp:effectExtent l="0" t="0" r="0" b="9525"/>
                  <wp:docPr id="104" name="图片 7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4" descr="IMG_277"/>
                          <pic:cNvPicPr>
                            <a:picLocks noChangeAspect="1"/>
                          </pic:cNvPicPr>
                        </pic:nvPicPr>
                        <pic:blipFill>
                          <a:blip r:embed="rId31"/>
                          <a:stretch>
                            <a:fillRect/>
                          </a:stretch>
                        </pic:blipFill>
                        <pic:spPr>
                          <a:xfrm>
                            <a:off x="0" y="0"/>
                            <a:ext cx="1295400" cy="15716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BD5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2340.00 </w:t>
            </w:r>
          </w:p>
        </w:tc>
      </w:tr>
      <w:tr w14:paraId="3796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410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D61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智慧引导屏（LED触屏）</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05A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1.尺寸：55寸</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2.使用部位：1F办事大厅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3.功能要求：智能分屏、手机/电脑远程发布、防爆钢化玻璃</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644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0C7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C15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047750" cy="990600"/>
                  <wp:effectExtent l="0" t="0" r="0" b="0"/>
                  <wp:docPr id="105" name="图片 7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5" descr="IMG_278"/>
                          <pic:cNvPicPr>
                            <a:picLocks noChangeAspect="1"/>
                          </pic:cNvPicPr>
                        </pic:nvPicPr>
                        <pic:blipFill>
                          <a:blip r:embed="rId32"/>
                          <a:stretch>
                            <a:fillRect/>
                          </a:stretch>
                        </pic:blipFill>
                        <pic:spPr>
                          <a:xfrm>
                            <a:off x="0" y="0"/>
                            <a:ext cx="1047750" cy="9906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059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5850.00 </w:t>
            </w:r>
          </w:p>
        </w:tc>
      </w:tr>
      <w:tr w14:paraId="04532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9D8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763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统一制作门牌号、科</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室（大队）名称以及场所名称牌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8E70">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1.可更换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2.使用部位：每间办公室、会议室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3.材质：不锈钢，一体成型塑料底托+2MM进口亚克力插卡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4.内容：根据使用单位要求定制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921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742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D34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228725" cy="857250"/>
                  <wp:effectExtent l="0" t="0" r="9525" b="0"/>
                  <wp:docPr id="106" name="图片 7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6" descr="IMG_279"/>
                          <pic:cNvPicPr>
                            <a:picLocks noChangeAspect="1"/>
                          </pic:cNvPicPr>
                        </pic:nvPicPr>
                        <pic:blipFill>
                          <a:blip r:embed="rId33"/>
                          <a:stretch>
                            <a:fillRect/>
                          </a:stretch>
                        </pic:blipFill>
                        <pic:spPr>
                          <a:xfrm>
                            <a:off x="0" y="0"/>
                            <a:ext cx="1228725" cy="8572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C90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13.00 </w:t>
            </w:r>
          </w:p>
        </w:tc>
      </w:tr>
      <w:tr w14:paraId="476F9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BDB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27</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73B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带衣柜木质书柜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B3E1">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尺寸：1800mm*400mm*2000mm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使用部位：10F独立办公室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55A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3A9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7E26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371600"/>
                  <wp:effectExtent l="0" t="0" r="9525" b="0"/>
                  <wp:docPr id="107" name="图片 7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7" descr="IMG_280"/>
                          <pic:cNvPicPr>
                            <a:picLocks noChangeAspect="1"/>
                          </pic:cNvPicPr>
                        </pic:nvPicPr>
                        <pic:blipFill>
                          <a:blip r:embed="rId34"/>
                          <a:stretch>
                            <a:fillRect/>
                          </a:stretch>
                        </pic:blipFill>
                        <pic:spPr>
                          <a:xfrm>
                            <a:off x="0" y="0"/>
                            <a:ext cx="1457325" cy="13716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507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3120.00 </w:t>
            </w:r>
          </w:p>
        </w:tc>
      </w:tr>
      <w:tr w14:paraId="5E8C6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279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06D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会客桌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AC6A">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尺寸：2600mm*1200mm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使用部位：10F会客室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8E8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310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EFE2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200150"/>
                  <wp:effectExtent l="0" t="0" r="9525" b="0"/>
                  <wp:docPr id="108" name="图片 7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8" descr="IMG_281"/>
                          <pic:cNvPicPr>
                            <a:picLocks noChangeAspect="1"/>
                          </pic:cNvPicPr>
                        </pic:nvPicPr>
                        <pic:blipFill>
                          <a:blip r:embed="rId35"/>
                          <a:stretch>
                            <a:fillRect/>
                          </a:stretch>
                        </pic:blipFill>
                        <pic:spPr>
                          <a:xfrm>
                            <a:off x="0" y="0"/>
                            <a:ext cx="1457325" cy="12001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653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2379.00 </w:t>
            </w:r>
          </w:p>
        </w:tc>
      </w:tr>
      <w:tr w14:paraId="4676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483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29</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25F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配套椅子</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4E9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尺寸：常规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使用部位：10F会客室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1.面料：采用优质黑色网布，透气性优良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2.海绵：采用优质海绵，阻燃级别高且柔软性能好、回弹性高、不变形。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3.椅架采用优质钢材，电镀工艺处理。</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7EB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711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01D5">
            <w:pPr>
              <w:snapToGrid w:val="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5F3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240.50 </w:t>
            </w:r>
          </w:p>
        </w:tc>
      </w:tr>
      <w:tr w14:paraId="13A25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2E0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C74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办公椅（大）</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7789">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使用部位：10F独立办公室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1.面料：采用优质黑色皮革，透气性优良</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2.海绵：采用优质海绵，阻燃级别高且柔软性能好、回弹性高、不变形。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3.椅架采用橡木。</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AD4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B16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1FBF">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923925" cy="1104900"/>
                  <wp:effectExtent l="0" t="0" r="9525" b="0"/>
                  <wp:docPr id="56" name="图片 7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9" descr="IMG_282"/>
                          <pic:cNvPicPr>
                            <a:picLocks noChangeAspect="1"/>
                          </pic:cNvPicPr>
                        </pic:nvPicPr>
                        <pic:blipFill>
                          <a:blip r:embed="rId36"/>
                          <a:stretch>
                            <a:fillRect/>
                          </a:stretch>
                        </pic:blipFill>
                        <pic:spPr>
                          <a:xfrm>
                            <a:off x="0" y="0"/>
                            <a:ext cx="923925" cy="11049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55B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630.50 </w:t>
            </w:r>
          </w:p>
        </w:tc>
      </w:tr>
      <w:tr w14:paraId="23106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B74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89E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办公桌（大）</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C14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使用部位：10F独立办公室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尺寸：长2000mm*宽1000mm*高760mm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1.面材：优质0.6mm级“胡桃木皮”饰面；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2.基材：采用优质绿色环保（E1级）中密度纤维板，经过防虫、防腐等处理。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3.木材经防虫、防潮、防腐及三次烘干蒸发处理，木材干燥至低于9%的含水率；</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4.油漆采用环保油漆，耐腐蚀性，耐水耐磨，采用先进油漆工艺“五底三面”，光泽均匀，不褪色；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5.五金配件：采用优质五金配件。</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3F7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条</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3A3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8A11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790575"/>
                  <wp:effectExtent l="0" t="0" r="9525" b="9525"/>
                  <wp:docPr id="58" name="图片 8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0" descr="IMG_283"/>
                          <pic:cNvPicPr>
                            <a:picLocks noChangeAspect="1"/>
                          </pic:cNvPicPr>
                        </pic:nvPicPr>
                        <pic:blipFill>
                          <a:blip r:embed="rId37"/>
                          <a:stretch>
                            <a:fillRect/>
                          </a:stretch>
                        </pic:blipFill>
                        <pic:spPr>
                          <a:xfrm>
                            <a:off x="0" y="0"/>
                            <a:ext cx="1457325" cy="7905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EA3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2574.00 </w:t>
            </w:r>
          </w:p>
        </w:tc>
      </w:tr>
      <w:tr w14:paraId="33538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893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7C8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小茶几</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264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1.使用部位：10楼南侧4个独立办公室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2.尺寸：60mm*60mm*73mm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3.桌面为岩板或人造板，桌腿为优质碳钢材质</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7EF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96B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FC59">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914400" cy="1000125"/>
                  <wp:effectExtent l="0" t="0" r="0" b="9525"/>
                  <wp:docPr id="57" name="图片 8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1" descr="IMG_284"/>
                          <pic:cNvPicPr>
                            <a:picLocks noChangeAspect="1"/>
                          </pic:cNvPicPr>
                        </pic:nvPicPr>
                        <pic:blipFill>
                          <a:blip r:embed="rId38"/>
                          <a:stretch>
                            <a:fillRect/>
                          </a:stretch>
                        </pic:blipFill>
                        <pic:spPr>
                          <a:xfrm>
                            <a:off x="0" y="0"/>
                            <a:ext cx="914400" cy="10001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E41C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624.00 </w:t>
            </w:r>
          </w:p>
        </w:tc>
      </w:tr>
      <w:tr w14:paraId="0202A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536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33</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15B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更衣室换衣柜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04DE">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材质：201不锈钢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厚度：0.8mm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尺寸：800mm*420mm*1800mm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使用部位：3F更衣室</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837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300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50B8">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372870" cy="721360"/>
                  <wp:effectExtent l="0" t="0" r="17780" b="2540"/>
                  <wp:docPr id="7" name="图片 5" descr="21c685cbdbc4c2933b7540923d52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1c685cbdbc4c2933b7540923d5243a"/>
                          <pic:cNvPicPr>
                            <a:picLocks noChangeAspect="1"/>
                          </pic:cNvPicPr>
                        </pic:nvPicPr>
                        <pic:blipFill>
                          <a:blip r:embed="rId39"/>
                          <a:srcRect t="25313" b="25279"/>
                          <a:stretch>
                            <a:fillRect/>
                          </a:stretch>
                        </pic:blipFill>
                        <pic:spPr>
                          <a:xfrm>
                            <a:off x="0" y="0"/>
                            <a:ext cx="1372870" cy="721360"/>
                          </a:xfrm>
                          <a:prstGeom prst="rect">
                            <a:avLst/>
                          </a:prstGeom>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9E6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884.00 </w:t>
            </w:r>
          </w:p>
        </w:tc>
      </w:tr>
      <w:tr w14:paraId="1B6A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1AA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DDE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餐厅用餐桌椅</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385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材质：优质防火板，曲木多层板，不锈钢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尺寸：1100mm*600mm*760mm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一套：一桌+四椅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使用部位：3F餐厅</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60D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B95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A15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392555" cy="782320"/>
                  <wp:effectExtent l="0" t="0" r="17145" b="17780"/>
                  <wp:docPr id="6" name="图片 4" descr="6bf288daae38051834e648a6f602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6bf288daae38051834e648a6f6023de"/>
                          <pic:cNvPicPr>
                            <a:picLocks noChangeAspect="1"/>
                          </pic:cNvPicPr>
                        </pic:nvPicPr>
                        <pic:blipFill>
                          <a:blip r:embed="rId40"/>
                          <a:stretch>
                            <a:fillRect/>
                          </a:stretch>
                        </pic:blipFill>
                        <pic:spPr>
                          <a:xfrm rot="10800000" flipV="1">
                            <a:off x="0" y="0"/>
                            <a:ext cx="1392555" cy="782320"/>
                          </a:xfrm>
                          <a:prstGeom prst="rect">
                            <a:avLst/>
                          </a:prstGeom>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79C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630.50 </w:t>
            </w:r>
          </w:p>
        </w:tc>
      </w:tr>
      <w:tr w14:paraId="125E7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48E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65F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1楼办事大厅窗口桌</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E739">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尺寸：外高1.2米，内高0.76米，上面宽0.2米，下面宽0.6米。长度总共8米。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材质：实木骨架，上下桌面使用石材；</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使用部位：1F办事大厅。</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881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47E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937D">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181100"/>
                  <wp:effectExtent l="0" t="0" r="9525" b="0"/>
                  <wp:docPr id="55" name="图片 8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2" descr="IMG_285"/>
                          <pic:cNvPicPr>
                            <a:picLocks noChangeAspect="1"/>
                          </pic:cNvPicPr>
                        </pic:nvPicPr>
                        <pic:blipFill>
                          <a:blip r:embed="rId41"/>
                          <a:stretch>
                            <a:fillRect/>
                          </a:stretch>
                        </pic:blipFill>
                        <pic:spPr>
                          <a:xfrm>
                            <a:off x="0" y="0"/>
                            <a:ext cx="1457325" cy="11811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ED4B">
            <w:pPr>
              <w:keepNext w:val="0"/>
              <w:keepLines w:val="0"/>
              <w:widowControl/>
              <w:suppressLineNumbers w:val="0"/>
              <w:snapToGrid w:val="0"/>
              <w:jc w:val="center"/>
              <w:textAlignment w:val="center"/>
              <w:rPr>
                <w:rFonts w:ascii="??" w:hAnsi="??" w:eastAsia="??" w:cs="??"/>
                <w:i w:val="0"/>
                <w:iCs w:val="0"/>
                <w:color w:val="000000" w:themeColor="text1"/>
                <w:sz w:val="18"/>
                <w:szCs w:val="18"/>
                <w:u w:val="none"/>
                <w14:textFill>
                  <w14:solidFill>
                    <w14:schemeClr w14:val="tx1"/>
                  </w14:solidFill>
                </w14:textFill>
              </w:rPr>
            </w:pPr>
            <w:r>
              <w:rPr>
                <w:rFonts w:hint="default" w:ascii="??" w:hAnsi="??" w:eastAsia="??" w:cs="??"/>
                <w:i w:val="0"/>
                <w:iCs w:val="0"/>
                <w:color w:val="000000" w:themeColor="text1"/>
                <w:kern w:val="0"/>
                <w:sz w:val="18"/>
                <w:szCs w:val="18"/>
                <w:u w:val="none"/>
                <w:lang w:val="en-US" w:eastAsia="zh-CN" w:bidi="ar"/>
                <w14:textFill>
                  <w14:solidFill>
                    <w14:schemeClr w14:val="tx1"/>
                  </w14:solidFill>
                </w14:textFill>
              </w:rPr>
              <w:t xml:space="preserve">3950.00 </w:t>
            </w:r>
          </w:p>
        </w:tc>
      </w:tr>
      <w:tr w14:paraId="4A0AE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0BA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208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1楼办事大厅窗口旋转升降凳</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A5D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使用部位：1F办事大厅</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升降方式：气压升降</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五星脚材质：钢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面料材质：优质皮革</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座面直径：33cm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升降高度：50cm至80cm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12E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912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1EBE">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933450" cy="1076325"/>
                  <wp:effectExtent l="0" t="0" r="0" b="9525"/>
                  <wp:docPr id="61" name="图片 8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3" descr="IMG_286"/>
                          <pic:cNvPicPr>
                            <a:picLocks noChangeAspect="1"/>
                          </pic:cNvPicPr>
                        </pic:nvPicPr>
                        <pic:blipFill>
                          <a:blip r:embed="rId42"/>
                          <a:stretch>
                            <a:fillRect/>
                          </a:stretch>
                        </pic:blipFill>
                        <pic:spPr>
                          <a:xfrm>
                            <a:off x="0" y="0"/>
                            <a:ext cx="933450" cy="10763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575D">
            <w:pPr>
              <w:keepNext w:val="0"/>
              <w:keepLines w:val="0"/>
              <w:widowControl/>
              <w:suppressLineNumbers w:val="0"/>
              <w:snapToGrid w:val="0"/>
              <w:jc w:val="center"/>
              <w:textAlignment w:val="center"/>
              <w:rPr>
                <w:rFonts w:hint="default" w:ascii="??" w:hAnsi="??" w:eastAsia="??" w:cs="??"/>
                <w:i w:val="0"/>
                <w:iCs w:val="0"/>
                <w:color w:val="000000" w:themeColor="text1"/>
                <w:sz w:val="18"/>
                <w:szCs w:val="18"/>
                <w:u w:val="none"/>
                <w14:textFill>
                  <w14:solidFill>
                    <w14:schemeClr w14:val="tx1"/>
                  </w14:solidFill>
                </w14:textFill>
              </w:rPr>
            </w:pPr>
            <w:r>
              <w:rPr>
                <w:rFonts w:hint="default" w:ascii="??" w:hAnsi="??" w:eastAsia="??" w:cs="??"/>
                <w:i w:val="0"/>
                <w:iCs w:val="0"/>
                <w:color w:val="000000" w:themeColor="text1"/>
                <w:kern w:val="0"/>
                <w:sz w:val="18"/>
                <w:szCs w:val="18"/>
                <w:u w:val="none"/>
                <w:lang w:val="en-US" w:eastAsia="zh-CN" w:bidi="ar"/>
                <w14:textFill>
                  <w14:solidFill>
                    <w14:schemeClr w14:val="tx1"/>
                  </w14:solidFill>
                </w14:textFill>
              </w:rPr>
              <w:t xml:space="preserve">240.50 </w:t>
            </w:r>
          </w:p>
        </w:tc>
      </w:tr>
      <w:tr w14:paraId="594AA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2B7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37</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03B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铁质自动式密集架</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9A5B">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1.使用部位：2F机关档案室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2.材质功能：铁质、电动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3.尺寸：4000mm*600mm*2500mm*20列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（4组一列20列）</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A0A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m³</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509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2856">
            <w:pPr>
              <w:keepNext w:val="0"/>
              <w:keepLines w:val="0"/>
              <w:widowControl/>
              <w:suppressLineNumbers w:val="0"/>
              <w:snapToGrid w:val="0"/>
              <w:jc w:val="left"/>
              <w:textAlignment w:val="center"/>
              <w:rPr>
                <w:rFonts w:ascii="黑体" w:hAnsi="宋体" w:eastAsia="黑体" w:cs="黑体"/>
                <w:i w:val="0"/>
                <w:iCs w:val="0"/>
                <w:color w:val="000000" w:themeColor="text1"/>
                <w:sz w:val="22"/>
                <w:szCs w:val="22"/>
                <w:u w:val="none"/>
                <w14:textFill>
                  <w14:solidFill>
                    <w14:schemeClr w14:val="tx1"/>
                  </w14:solidFill>
                </w14:textFill>
              </w:rPr>
            </w:pPr>
            <w:r>
              <w:rPr>
                <w:rFonts w:hint="eastAsia" w:ascii="黑体" w:hAnsi="宋体" w:eastAsia="黑体" w:cs="黑体"/>
                <w:i w:val="0"/>
                <w:iCs w:val="0"/>
                <w:color w:val="000000" w:themeColor="text1"/>
                <w:kern w:val="0"/>
                <w:sz w:val="22"/>
                <w:szCs w:val="22"/>
                <w:u w:val="none"/>
                <w:lang w:val="en-US" w:eastAsia="zh-CN" w:bidi="ar"/>
                <w14:textFill>
                  <w14:solidFill>
                    <w14:schemeClr w14:val="tx1"/>
                  </w14:solidFill>
                </w14:textFill>
              </w:rPr>
              <w:drawing>
                <wp:inline distT="0" distB="0" distL="114300" distR="114300">
                  <wp:extent cx="1238250" cy="895350"/>
                  <wp:effectExtent l="0" t="0" r="0" b="0"/>
                  <wp:docPr id="62" name="图片 8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4" descr="IMG_287"/>
                          <pic:cNvPicPr>
                            <a:picLocks noChangeAspect="1"/>
                          </pic:cNvPicPr>
                        </pic:nvPicPr>
                        <pic:blipFill>
                          <a:blip r:embed="rId43"/>
                          <a:stretch>
                            <a:fillRect/>
                          </a:stretch>
                        </pic:blipFill>
                        <pic:spPr>
                          <a:xfrm>
                            <a:off x="0" y="0"/>
                            <a:ext cx="1238250" cy="8953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2DB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1250.00 </w:t>
            </w:r>
          </w:p>
        </w:tc>
      </w:tr>
      <w:tr w14:paraId="62528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86D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5FB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铁质自动式密集架</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433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1.使用部位：2F企业档案室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2.材质功能：铁质、电动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3.尺寸：</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①4500mm*600mm*2200mm*31列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（5组一列31列）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②3000mm*600mm*2200mm*11列</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（3组一列11列）</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87C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m³</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6EF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227.70 </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55CF">
            <w:pPr>
              <w:keepNext w:val="0"/>
              <w:keepLines w:val="0"/>
              <w:widowControl/>
              <w:suppressLineNumbers w:val="0"/>
              <w:snapToGrid w:val="0"/>
              <w:jc w:val="left"/>
              <w:textAlignment w:val="center"/>
              <w:rPr>
                <w:rFonts w:hint="eastAsia" w:ascii="黑体" w:hAnsi="宋体" w:eastAsia="黑体" w:cs="黑体"/>
                <w:i w:val="0"/>
                <w:iCs w:val="0"/>
                <w:color w:val="000000" w:themeColor="text1"/>
                <w:sz w:val="22"/>
                <w:szCs w:val="22"/>
                <w:u w:val="none"/>
                <w14:textFill>
                  <w14:solidFill>
                    <w14:schemeClr w14:val="tx1"/>
                  </w14:solidFill>
                </w14:textFill>
              </w:rPr>
            </w:pPr>
            <w:r>
              <w:rPr>
                <w:rFonts w:hint="eastAsia" w:ascii="黑体" w:hAnsi="宋体" w:eastAsia="黑体" w:cs="黑体"/>
                <w:i w:val="0"/>
                <w:iCs w:val="0"/>
                <w:color w:val="000000" w:themeColor="text1"/>
                <w:kern w:val="0"/>
                <w:sz w:val="22"/>
                <w:szCs w:val="22"/>
                <w:u w:val="none"/>
                <w:lang w:val="en-US" w:eastAsia="zh-CN" w:bidi="ar"/>
                <w14:textFill>
                  <w14:solidFill>
                    <w14:schemeClr w14:val="tx1"/>
                  </w14:solidFill>
                </w14:textFill>
              </w:rPr>
              <w:drawing>
                <wp:inline distT="0" distB="0" distL="114300" distR="114300">
                  <wp:extent cx="1238250" cy="895350"/>
                  <wp:effectExtent l="0" t="0" r="0" b="0"/>
                  <wp:docPr id="63" name="图片 8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5" descr="IMG_288"/>
                          <pic:cNvPicPr>
                            <a:picLocks noChangeAspect="1"/>
                          </pic:cNvPicPr>
                        </pic:nvPicPr>
                        <pic:blipFill>
                          <a:blip r:embed="rId43"/>
                          <a:stretch>
                            <a:fillRect/>
                          </a:stretch>
                        </pic:blipFill>
                        <pic:spPr>
                          <a:xfrm>
                            <a:off x="0" y="0"/>
                            <a:ext cx="1238250" cy="8953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F23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1250.00 </w:t>
            </w:r>
          </w:p>
        </w:tc>
      </w:tr>
      <w:tr w14:paraId="5E23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439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39</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38A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油烟净化一体机</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2DB0">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1.产品结构为：平板式高低压静电结构;</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2.极板标准，单级电场的过风方向尺寸不低于355mm，双极电场过风方向尺寸不低于40mm高压和低压双极过滤;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3.静电油烟净化器电离段为铝结构，尖端放电片为线切割工艺，收集段材质为1060/3003标准铝合金，厚度不小于0.7mm;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4.净化器电源要求为：双闭环恒压自补偿型，具有独特的燃弧抑制保护技术，恒流工作，抗水雾工作；并具有击穿放电保护、短路保护、开路保护、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过载保护、过压保护、防过冲保护和过热保护；高低压输出:高压10-18KV，低压5-9KV，全高压输出:10-18KV;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5.净化器的最低净化效率不得低于90%，排放口油烟浓度小于1.0mg/m³；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6.为了保证使用中的安全性，极板内绝缘陶瓷通过体积密度、抗折密度、热稳定性检测，体积密度大于3.5g/cm³，抗折强度大于300Mpa</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7.主体材质采用304不锈钢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8.包含排烟口改造（含排烟管道、拆除玻璃窗、打胶密封等）</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9.规格尺寸：1800mm*1200mm*950mm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984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09D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9A61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047750"/>
                  <wp:effectExtent l="0" t="0" r="9525" b="0"/>
                  <wp:docPr id="64" name="图片 8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6" descr="IMG_289"/>
                          <pic:cNvPicPr>
                            <a:picLocks noChangeAspect="1"/>
                          </pic:cNvPicPr>
                        </pic:nvPicPr>
                        <pic:blipFill>
                          <a:blip r:embed="rId44"/>
                          <a:stretch>
                            <a:fillRect/>
                          </a:stretch>
                        </pic:blipFill>
                        <pic:spPr>
                          <a:xfrm>
                            <a:off x="0" y="0"/>
                            <a:ext cx="1457325" cy="10477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B8B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10000.00 </w:t>
            </w:r>
          </w:p>
        </w:tc>
      </w:tr>
      <w:tr w14:paraId="08E67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B37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85B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单眼大锅灶（电）</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1F60">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直径80cm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1.采用先进工艺，性能稳定，寿命更长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2.超音频电磁加热技术，轻松实现抛锅功能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3.聚能超大线盘，火力均匀，一级能效</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4.国家IP44防护等级防护，使用更安心</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5.独有的无锅检测功能，省电又安全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6.八档火力动态显示，火候精准掌控</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7.风机延时2分钟关断，散热彻底，延长机芯寿命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8.三重立体防辐射外壳屏蔽设计，防止磁场泄露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9.人性化三防结构模块设计，有效防水，防油烟，防虫害的浸蚀</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10.食品接触认证，炉体主体材质采用304不锈钢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11.规格：1000mm*1100mm*800mm+400mm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414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7AB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C7AB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209675"/>
                  <wp:effectExtent l="0" t="0" r="9525" b="9525"/>
                  <wp:docPr id="65" name="图片 8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7" descr="IMG_290"/>
                          <pic:cNvPicPr>
                            <a:picLocks noChangeAspect="1"/>
                          </pic:cNvPicPr>
                        </pic:nvPicPr>
                        <pic:blipFill>
                          <a:blip r:embed="rId45"/>
                          <a:stretch>
                            <a:fillRect/>
                          </a:stretch>
                        </pic:blipFill>
                        <pic:spPr>
                          <a:xfrm>
                            <a:off x="0" y="0"/>
                            <a:ext cx="1457325" cy="12096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7C4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4850.00 </w:t>
            </w:r>
          </w:p>
        </w:tc>
      </w:tr>
      <w:tr w14:paraId="7A5A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967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41</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450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四眼煲仔炉（燃气）</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3259">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炉头材质：球墨铸铁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炉盘尺寸：300mm*300mm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点火方式：一键打火</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熄火保护：热电偶式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炉体材质：304不锈钢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操控方式：旋钮式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规格：800mm*800mm*800mm+280mm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909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490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6ADB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181100" cy="1352550"/>
                  <wp:effectExtent l="0" t="0" r="0" b="0"/>
                  <wp:docPr id="66" name="图片 8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8" descr="IMG_291"/>
                          <pic:cNvPicPr>
                            <a:picLocks noChangeAspect="1"/>
                          </pic:cNvPicPr>
                        </pic:nvPicPr>
                        <pic:blipFill>
                          <a:blip r:embed="rId46"/>
                          <a:stretch>
                            <a:fillRect/>
                          </a:stretch>
                        </pic:blipFill>
                        <pic:spPr>
                          <a:xfrm>
                            <a:off x="0" y="0"/>
                            <a:ext cx="1181100" cy="13525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C7C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3760.00 </w:t>
            </w:r>
          </w:p>
        </w:tc>
      </w:tr>
      <w:tr w14:paraId="42631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5CB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B51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矮汤炉（电）</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3FFD">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1.采用先进工艺，性能稳定，寿命更长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2.超音频电磁加热技术，轻松实现抛锅功能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3.聚能超大线盘，火力均匀，能效高达92%以上</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4.国家IP44防护等级防护，使用更安心</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5.独有的无锅检测功能，省电又安全</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6.八档火力动态显示，火候精准掌控</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7.风机延时2分钟关断，散热彻底，延长机芯寿命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8.三重立体防辐射外壳屏蔽设计，防止磁场泄露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9.人性化三防结构模块设计，有效防水，防油烟，防虫害的浸蚀</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10.食品接触认证，主体材质采用304不锈钢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11.规格：650mm*750mm*500mm+700mm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5DB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463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AC4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2019300"/>
                  <wp:effectExtent l="0" t="0" r="9525" b="0"/>
                  <wp:docPr id="67" name="图片 8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9" descr="IMG_292"/>
                          <pic:cNvPicPr>
                            <a:picLocks noChangeAspect="1"/>
                          </pic:cNvPicPr>
                        </pic:nvPicPr>
                        <pic:blipFill>
                          <a:blip r:embed="rId47"/>
                          <a:stretch>
                            <a:fillRect/>
                          </a:stretch>
                        </pic:blipFill>
                        <pic:spPr>
                          <a:xfrm>
                            <a:off x="0" y="0"/>
                            <a:ext cx="1457325" cy="20193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2B4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2800.00 </w:t>
            </w:r>
          </w:p>
        </w:tc>
      </w:tr>
      <w:tr w14:paraId="6B699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B0D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3B5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24层蒸饭柜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A55A">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1.4公分加厚发泡层，蒸饭速度快，保温性能好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2.箱体一次成型，密封性能好，不漏气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3.内胆304板材，一体拉伸水箱，3分钟出蒸汽专利技术，节能高效</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4.万向静音刹车脚轮，移动方便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5.不锈钢条手，自动止水阀，溢水阀</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6.6平方接线电缆线，安全可靠</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7.缺水防干烧系统，时间温度可以随意调节</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8.规格1500mm*585mm*1490mm</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06F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632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71D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609725"/>
                  <wp:effectExtent l="0" t="0" r="9525" b="9525"/>
                  <wp:docPr id="68" name="图片 9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0" descr="IMG_293"/>
                          <pic:cNvPicPr>
                            <a:picLocks noChangeAspect="1"/>
                          </pic:cNvPicPr>
                        </pic:nvPicPr>
                        <pic:blipFill>
                          <a:blip r:embed="rId48"/>
                          <a:stretch>
                            <a:fillRect/>
                          </a:stretch>
                        </pic:blipFill>
                        <pic:spPr>
                          <a:xfrm>
                            <a:off x="0" y="0"/>
                            <a:ext cx="1457325" cy="16097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0D6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5780.00 </w:t>
            </w:r>
          </w:p>
        </w:tc>
      </w:tr>
      <w:tr w14:paraId="78D3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EA6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4DF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留样冰箱</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6A2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1.LED数码显示，精度0.1℃</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2.超温报警（＞8℃或＜0℃）</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3.断电报警，续航≥4小时</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4.内胆304不锈钢（食品接触级）</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5.分层搁板（可调节高度）</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6.样品标签卡槽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7.有效容积：250L</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8.制冷方式：风冷无霜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9.使用寿命：压缩机质保≥3 年，整机质保≥1 年，正常使用寿命≥8年</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10.带锁设计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11.一级能效</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40F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094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72E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857250" cy="923925"/>
                  <wp:effectExtent l="0" t="0" r="0" b="9525"/>
                  <wp:docPr id="69" name="图片 91"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1" descr="IMG_294"/>
                          <pic:cNvPicPr>
                            <a:picLocks noChangeAspect="1"/>
                          </pic:cNvPicPr>
                        </pic:nvPicPr>
                        <pic:blipFill>
                          <a:blip r:embed="rId49"/>
                          <a:stretch>
                            <a:fillRect/>
                          </a:stretch>
                        </pic:blipFill>
                        <pic:spPr>
                          <a:xfrm>
                            <a:off x="0" y="0"/>
                            <a:ext cx="857250" cy="9239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0E8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3660.00 </w:t>
            </w:r>
          </w:p>
        </w:tc>
      </w:tr>
      <w:tr w14:paraId="34CD0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D7D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D3E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风幕机</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2F31">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1.长1.5米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2.风量：2200-2800m³/h</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3.噪声：52db</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4.功率：350-450W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5.电压：220V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6.能效：一级能效</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5F2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936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AFE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828675" cy="561975"/>
                  <wp:effectExtent l="0" t="0" r="9525" b="9525"/>
                  <wp:docPr id="70" name="图片 92"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2" descr="IMG_295"/>
                          <pic:cNvPicPr>
                            <a:picLocks noChangeAspect="1"/>
                          </pic:cNvPicPr>
                        </pic:nvPicPr>
                        <pic:blipFill>
                          <a:blip r:embed="rId50"/>
                          <a:stretch>
                            <a:fillRect/>
                          </a:stretch>
                        </pic:blipFill>
                        <pic:spPr>
                          <a:xfrm>
                            <a:off x="0" y="0"/>
                            <a:ext cx="828675" cy="5619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9EC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1880.00 </w:t>
            </w:r>
          </w:p>
        </w:tc>
      </w:tr>
      <w:tr w14:paraId="3531B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8DB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730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台式绞切两用机</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6C38">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1.功率1.5KW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3.可快拆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4.材质：不锈钢绞肉机头、不锈钢切肉刀片、不锈钢十字刀、不锈钢孔板、不锈钢螺母、不锈钢绞龙、不锈钢三通、不锈钢托盘（304不锈钢）</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82D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FD2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4D199">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285875"/>
                  <wp:effectExtent l="0" t="0" r="9525" b="9525"/>
                  <wp:docPr id="71" name="图片 93"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3" descr="IMG_296"/>
                          <pic:cNvPicPr>
                            <a:picLocks noChangeAspect="1"/>
                          </pic:cNvPicPr>
                        </pic:nvPicPr>
                        <pic:blipFill>
                          <a:blip r:embed="rId51"/>
                          <a:stretch>
                            <a:fillRect/>
                          </a:stretch>
                        </pic:blipFill>
                        <pic:spPr>
                          <a:xfrm>
                            <a:off x="0" y="0"/>
                            <a:ext cx="1457325" cy="12858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C73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1700.00 </w:t>
            </w:r>
          </w:p>
        </w:tc>
      </w:tr>
      <w:tr w14:paraId="64102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AEF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47</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606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面粉B30搅拌机</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6618">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1.功率1.25KW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2.搅拌轴转速：360\166\100三挡变速</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3.料桶容量：30L</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4.主体材质采用304不锈钢制作</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CF7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02B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802F">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285875"/>
                  <wp:effectExtent l="0" t="0" r="9525" b="9525"/>
                  <wp:docPr id="72" name="图片 94"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4" descr="IMG_297"/>
                          <pic:cNvPicPr>
                            <a:picLocks noChangeAspect="1"/>
                          </pic:cNvPicPr>
                        </pic:nvPicPr>
                        <pic:blipFill>
                          <a:blip r:embed="rId52"/>
                          <a:stretch>
                            <a:fillRect/>
                          </a:stretch>
                        </pic:blipFill>
                        <pic:spPr>
                          <a:xfrm>
                            <a:off x="0" y="0"/>
                            <a:ext cx="1457325" cy="128587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1FA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2800.00 </w:t>
            </w:r>
          </w:p>
        </w:tc>
      </w:tr>
      <w:tr w14:paraId="451C1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F70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253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单孔蒸包器</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E97F">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尺寸：1000*900*800</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说明：采用优质304不锈钢板制作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侧板：δ1.0mm、不锈钢板</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F6E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B568">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E328">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057275" cy="1066800"/>
                  <wp:effectExtent l="0" t="0" r="9525" b="0"/>
                  <wp:docPr id="73" name="图片 95"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5" descr="IMG_298"/>
                          <pic:cNvPicPr>
                            <a:picLocks noChangeAspect="1"/>
                          </pic:cNvPicPr>
                        </pic:nvPicPr>
                        <pic:blipFill>
                          <a:blip r:embed="rId53"/>
                          <a:stretch>
                            <a:fillRect/>
                          </a:stretch>
                        </pic:blipFill>
                        <pic:spPr>
                          <a:xfrm>
                            <a:off x="0" y="0"/>
                            <a:ext cx="1057275" cy="10668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A25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3700.00 </w:t>
            </w:r>
          </w:p>
        </w:tc>
      </w:tr>
      <w:tr w14:paraId="03A39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E9C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49</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B31B">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不锈钢立式高温双开门消毒柜</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744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热风循环，温度120摄氏度以上，容量不小于1300L</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33D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508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775E">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085850" cy="1085850"/>
                  <wp:effectExtent l="0" t="0" r="0" b="0"/>
                  <wp:docPr id="74" name="图片 96"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6" descr="IMG_299"/>
                          <pic:cNvPicPr>
                            <a:picLocks noChangeAspect="1"/>
                          </pic:cNvPicPr>
                        </pic:nvPicPr>
                        <pic:blipFill>
                          <a:blip r:embed="rId54"/>
                          <a:stretch>
                            <a:fillRect/>
                          </a:stretch>
                        </pic:blipFill>
                        <pic:spPr>
                          <a:xfrm>
                            <a:off x="0" y="0"/>
                            <a:ext cx="1085850" cy="10858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F51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2890.00 </w:t>
            </w:r>
          </w:p>
        </w:tc>
      </w:tr>
      <w:tr w14:paraId="64DC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72C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933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双层送餐车</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6140">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1.尺寸：高度90cm，板子内径74*40cm，层距53cm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2.采用优质304不锈钢板制作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立柱:δ1.0mm*直径51不锈钢圆管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层板:δ1.0mm不锈钢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支撑梁:不锈钢制作</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4F3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184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BD0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000125" cy="1200150"/>
                  <wp:effectExtent l="0" t="0" r="9525" b="0"/>
                  <wp:docPr id="75" name="图片 97"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7" descr="IMG_300"/>
                          <pic:cNvPicPr>
                            <a:picLocks noChangeAspect="1"/>
                          </pic:cNvPicPr>
                        </pic:nvPicPr>
                        <pic:blipFill>
                          <a:blip r:embed="rId55"/>
                          <a:stretch>
                            <a:fillRect/>
                          </a:stretch>
                        </pic:blipFill>
                        <pic:spPr>
                          <a:xfrm>
                            <a:off x="0" y="0"/>
                            <a:ext cx="1000125" cy="12001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C0D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960.00 </w:t>
            </w:r>
          </w:p>
        </w:tc>
      </w:tr>
      <w:tr w14:paraId="45C7B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08D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51</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450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三层塑料收残车</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C02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1.尺寸：950mm*500mm*940mm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2.加厚款三层带挡板，前后带长短挂桶，带4个盆</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206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72C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FB0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219200" cy="1219200"/>
                  <wp:effectExtent l="0" t="0" r="0" b="0"/>
                  <wp:docPr id="76" name="图片 9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8" descr="IMG_301"/>
                          <pic:cNvPicPr>
                            <a:picLocks noChangeAspect="1"/>
                          </pic:cNvPicPr>
                        </pic:nvPicPr>
                        <pic:blipFill>
                          <a:blip r:embed="rId56"/>
                          <a:stretch>
                            <a:fillRect/>
                          </a:stretch>
                        </pic:blipFill>
                        <pic:spPr>
                          <a:xfrm>
                            <a:off x="0" y="0"/>
                            <a:ext cx="1219200" cy="12192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89F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870.00 </w:t>
            </w:r>
          </w:p>
        </w:tc>
      </w:tr>
      <w:tr w14:paraId="6A02C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DE53">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254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自助加热餐炉</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7AC8">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六格保温2150mm长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1、台面采用δ1.0mm304不锈钢板；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2、水箱、围板用δ1.0mm304不锈钢板；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3、腿管采用1.0mm*38*38  304不锈钢方管；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4、调节脚采用全金属外包不锈钢子弹脚；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5、配不锈钢电热管，自动电控恒温式保温方式；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6、水热式。配缺水断电保护装置</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电量：3KW/1PH/220V</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795F">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0C7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66A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47800" cy="1466850"/>
                  <wp:effectExtent l="0" t="0" r="0" b="0"/>
                  <wp:docPr id="77" name="图片 99"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9" descr="IMG_302"/>
                          <pic:cNvPicPr>
                            <a:picLocks noChangeAspect="1"/>
                          </pic:cNvPicPr>
                        </pic:nvPicPr>
                        <pic:blipFill>
                          <a:blip r:embed="rId57"/>
                          <a:stretch>
                            <a:fillRect/>
                          </a:stretch>
                        </pic:blipFill>
                        <pic:spPr>
                          <a:xfrm>
                            <a:off x="0" y="0"/>
                            <a:ext cx="1447800" cy="146685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7B7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3460.00 </w:t>
            </w:r>
          </w:p>
        </w:tc>
      </w:tr>
      <w:tr w14:paraId="42667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8F6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53</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245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双层工作台</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78F0">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尺寸：1800mm×800mm×800mm</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说明：采用优质304不锈钢板制作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立柱:δ1.0mm*直径51不锈钢圆管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层板:δ1.0mm不锈钢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支撑梁:不锈钢制作</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D97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B5E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9076">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981075" cy="762000"/>
                  <wp:effectExtent l="0" t="0" r="9525" b="0"/>
                  <wp:docPr id="78" name="图片 100"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0" descr="IMG_303"/>
                          <pic:cNvPicPr>
                            <a:picLocks noChangeAspect="1"/>
                          </pic:cNvPicPr>
                        </pic:nvPicPr>
                        <pic:blipFill>
                          <a:blip r:embed="rId58"/>
                          <a:stretch>
                            <a:fillRect/>
                          </a:stretch>
                        </pic:blipFill>
                        <pic:spPr>
                          <a:xfrm>
                            <a:off x="0" y="0"/>
                            <a:ext cx="981075" cy="7620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EF3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1320.00 </w:t>
            </w:r>
          </w:p>
        </w:tc>
      </w:tr>
      <w:tr w14:paraId="4A2A0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28B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54</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6CFE">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保温台五达格</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7425">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说明：采用优质304不锈钢板制作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1、台面采用δ1.0mm不锈钢板；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2、水箱、围板用δ1.0mm不锈钢板；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3、腿管采用1.0mm*38*38不锈钢方管；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4、调节脚采用全金属外包不锈钢子弹脚；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5、配不锈钢电热管，自动电控恒温式保温方式；</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6、水热式。配缺水断电保护装置</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电量：3KW/1PH/220V</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20B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BE4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4C943">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1228725"/>
                  <wp:effectExtent l="0" t="0" r="9525" b="9525"/>
                  <wp:docPr id="79" name="图片 101"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1" descr="IMG_304"/>
                          <pic:cNvPicPr>
                            <a:picLocks noChangeAspect="1"/>
                          </pic:cNvPicPr>
                        </pic:nvPicPr>
                        <pic:blipFill>
                          <a:blip r:embed="rId59"/>
                          <a:stretch>
                            <a:fillRect/>
                          </a:stretch>
                        </pic:blipFill>
                        <pic:spPr>
                          <a:xfrm>
                            <a:off x="0" y="0"/>
                            <a:ext cx="1457325" cy="12287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B21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2890.00 </w:t>
            </w:r>
          </w:p>
        </w:tc>
      </w:tr>
      <w:tr w14:paraId="5F20F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EA7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A822">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3眼水池</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DBEC">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说明：采用优质304不锈钢板制作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1、台面采用δ1.0mm不锈钢板；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2、星盆斗采用δ1.0mm不锈钢机冲；</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3、脚管采用1.0mmφ38不锈钢圆管；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4、横档采用1.0mmφ25不锈钢圆管；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5、调节脚采用全金属外包不锈钢子弹脚；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6、大单星盆，配星盆去水槽，隔渣网。</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5F4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A49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DCFC">
            <w:pPr>
              <w:snapToGrid w:val="0"/>
              <w:rPr>
                <w:rFonts w:hint="eastAsia" w:ascii="宋体" w:hAnsi="宋体" w:eastAsia="宋体" w:cs="宋体"/>
                <w:i w:val="0"/>
                <w:iCs w:val="0"/>
                <w:color w:val="000000" w:themeColor="text1"/>
                <w:sz w:val="18"/>
                <w:szCs w:val="18"/>
                <w:u w:val="none"/>
                <w14:textFill>
                  <w14:solidFill>
                    <w14:schemeClr w14:val="tx1"/>
                  </w14:solidFill>
                </w14:textFill>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4FE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870.00 </w:t>
            </w:r>
          </w:p>
        </w:tc>
      </w:tr>
      <w:tr w14:paraId="3A47F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E4D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19A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灭蝇灯</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F15F">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2.功率:10W</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3.用胶：粘性持久，不易干胶，安全环保。苍蝇背景图案：根据苍蝇聚集采食习惯设计, 增加飞虫诱捕效果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4.电子式镇流器：故障率低，寿命长，节能，具电压保护功能</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5.U型卡槽设计：使特殊波长灯管光频 直射到粘蝇板的 各点距离均等，加强对飞虫的吸引力和诱捕效</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83D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个</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F7E9">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7A4A">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981075" cy="723900"/>
                  <wp:effectExtent l="0" t="0" r="9525" b="0"/>
                  <wp:docPr id="80" name="图片 102"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2" descr="IMG_305"/>
                          <pic:cNvPicPr>
                            <a:picLocks noChangeAspect="1"/>
                          </pic:cNvPicPr>
                        </pic:nvPicPr>
                        <pic:blipFill>
                          <a:blip r:embed="rId60"/>
                          <a:stretch>
                            <a:fillRect/>
                          </a:stretch>
                        </pic:blipFill>
                        <pic:spPr>
                          <a:xfrm>
                            <a:off x="0" y="0"/>
                            <a:ext cx="981075" cy="7239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FA4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130.00 </w:t>
            </w:r>
          </w:p>
        </w:tc>
      </w:tr>
      <w:tr w14:paraId="656A0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1756">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57</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E580">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挡鼠板</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A2EB">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说明：采用优质304不锈钢板制作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台面:δ1.0mm不锈钢板</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立柱:δ1.0mm*直径51不锈钢圆管</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层板:δ1.0mm不锈钢</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支撑梁:不锈钢制作</w:t>
            </w: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C4A5">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块</w:t>
            </w: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E1E7">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856A">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57325" cy="723900"/>
                  <wp:effectExtent l="0" t="0" r="9525" b="0"/>
                  <wp:docPr id="81" name="图片 103"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3" descr="IMG_306"/>
                          <pic:cNvPicPr>
                            <a:picLocks noChangeAspect="1"/>
                          </pic:cNvPicPr>
                        </pic:nvPicPr>
                        <pic:blipFill>
                          <a:blip r:embed="rId61"/>
                          <a:stretch>
                            <a:fillRect/>
                          </a:stretch>
                        </pic:blipFill>
                        <pic:spPr>
                          <a:xfrm>
                            <a:off x="0" y="0"/>
                            <a:ext cx="1457325" cy="723900"/>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82C4">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270.00 </w:t>
            </w:r>
          </w:p>
        </w:tc>
      </w:tr>
      <w:tr w14:paraId="2408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11B1">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F9B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节能环保自动电热开 水器</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2CA4">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说明：380V/9KW， 材质说明：</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1.采用自动进水断水装置，防干烧、有缺相过载保护、箱体有保温性能，配底座；</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2.开水器内置溢流管.避免开水外溢烫伤；</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3.采用全封闭设计优质食用级不锈钢内胆。</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4.容量：80L</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5.使用部位：洗碗间、粗加工间</w:t>
            </w:r>
          </w:p>
        </w:tc>
        <w:tc>
          <w:tcPr>
            <w:tcW w:w="4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31DC">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台</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075D">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9FCA">
            <w:pPr>
              <w:keepNext w:val="0"/>
              <w:keepLines w:val="0"/>
              <w:widowControl/>
              <w:suppressLineNumbers w:val="0"/>
              <w:snapToGrid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drawing>
                <wp:inline distT="0" distB="0" distL="114300" distR="114300">
                  <wp:extent cx="1447800" cy="1457325"/>
                  <wp:effectExtent l="0" t="0" r="0" b="9525"/>
                  <wp:docPr id="82" name="图片 104"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4" descr="IMG_307"/>
                          <pic:cNvPicPr>
                            <a:picLocks noChangeAspect="1"/>
                          </pic:cNvPicPr>
                        </pic:nvPicPr>
                        <pic:blipFill>
                          <a:blip r:embed="rId62"/>
                          <a:stretch>
                            <a:fillRect/>
                          </a:stretch>
                        </pic:blipFill>
                        <pic:spPr>
                          <a:xfrm>
                            <a:off x="0" y="0"/>
                            <a:ext cx="1447800" cy="1457325"/>
                          </a:xfrm>
                          <a:prstGeom prst="rect">
                            <a:avLst/>
                          </a:prstGeom>
                          <a:noFill/>
                          <a:ln w="9525">
                            <a:noFill/>
                          </a:ln>
                        </pic:spPr>
                      </pic:pic>
                    </a:graphicData>
                  </a:graphic>
                </wp:inline>
              </w:drawing>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E0CA">
            <w:pPr>
              <w:keepNext w:val="0"/>
              <w:keepLines w:val="0"/>
              <w:widowControl/>
              <w:suppressLineNumbers w:val="0"/>
              <w:snapToGrid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4180.00 </w:t>
            </w:r>
          </w:p>
        </w:tc>
      </w:tr>
    </w:tbl>
    <w:p w14:paraId="7259AA10">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5" w:rightChars="-50" w:firstLine="480" w:firstLineChars="200"/>
        <w:jc w:val="both"/>
        <w:textAlignment w:val="auto"/>
        <w:outlineLvl w:val="9"/>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注：</w:t>
      </w:r>
      <w:r>
        <w:rPr>
          <w:rFonts w:hint="eastAsia" w:ascii="宋体" w:hAnsi="宋体" w:eastAsia="宋体" w:cs="宋体"/>
          <w:i w:val="0"/>
          <w:iCs w:val="0"/>
          <w:color w:val="000000"/>
          <w:kern w:val="0"/>
          <w:sz w:val="24"/>
          <w:szCs w:val="24"/>
          <w:highlight w:val="none"/>
          <w:u w:val="none"/>
          <w:lang w:val="en-US" w:eastAsia="zh-CN" w:bidi="ar"/>
        </w:rPr>
        <w:t>1</w:t>
      </w:r>
      <w:r>
        <w:rPr>
          <w:rFonts w:hint="eastAsia"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以上所列产品的技术参数仅供参考，不具备指向性和限制性，</w:t>
      </w:r>
      <w:r>
        <w:rPr>
          <w:rFonts w:hint="eastAsia" w:hAnsi="宋体" w:cs="宋体"/>
          <w:i w:val="0"/>
          <w:iCs w:val="0"/>
          <w:color w:val="000000"/>
          <w:kern w:val="0"/>
          <w:sz w:val="24"/>
          <w:szCs w:val="24"/>
          <w:highlight w:val="none"/>
          <w:u w:val="none"/>
          <w:lang w:val="en-US" w:eastAsia="zh-CN" w:bidi="ar"/>
        </w:rPr>
        <w:t>投标人</w:t>
      </w:r>
      <w:r>
        <w:rPr>
          <w:rFonts w:hint="eastAsia" w:ascii="宋体" w:hAnsi="宋体" w:eastAsia="宋体" w:cs="宋体"/>
          <w:i w:val="0"/>
          <w:iCs w:val="0"/>
          <w:color w:val="000000"/>
          <w:kern w:val="0"/>
          <w:sz w:val="24"/>
          <w:szCs w:val="24"/>
          <w:highlight w:val="none"/>
          <w:u w:val="none"/>
          <w:lang w:val="en-US" w:eastAsia="zh-CN" w:bidi="ar"/>
        </w:rPr>
        <w:t>可以提供品质相当或优于技术参数的商品；</w:t>
      </w:r>
    </w:p>
    <w:p w14:paraId="707C4CA2">
      <w:pPr>
        <w:pStyle w:val="52"/>
        <w:snapToGrid w:val="0"/>
        <w:spacing w:line="336" w:lineRule="auto"/>
        <w:ind w:firstLine="480" w:firstLineChars="200"/>
        <w:outlineLvl w:val="9"/>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投标人技术参数有相关偏离的，应提供相关证明；</w:t>
      </w:r>
    </w:p>
    <w:p w14:paraId="6C2341AB">
      <w:pPr>
        <w:pStyle w:val="52"/>
        <w:snapToGrid w:val="0"/>
        <w:spacing w:line="336" w:lineRule="auto"/>
        <w:ind w:firstLine="480" w:firstLineChars="200"/>
        <w:outlineLvl w:val="9"/>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r>
        <w:rPr>
          <w:rFonts w:hint="eastAsia"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合同履行期间，若因政策调整或项目变更等原因，造成设备、货物等有增、减的，其增、减部分的实际量及要求按相应中标单价的费用予以增、减。由此给中标商造成的损失不予补偿，请各投标人在投标时充分考虑这一因素；</w:t>
      </w:r>
    </w:p>
    <w:p w14:paraId="7D0D1AA4">
      <w:pPr>
        <w:pStyle w:val="52"/>
        <w:snapToGrid w:val="0"/>
        <w:spacing w:line="336" w:lineRule="auto"/>
        <w:ind w:firstLine="480" w:firstLineChars="200"/>
        <w:outlineLvl w:val="9"/>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r>
        <w:rPr>
          <w:rFonts w:hint="eastAsia"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本项目</w:t>
      </w:r>
      <w:r>
        <w:rPr>
          <w:rFonts w:hint="eastAsia" w:hAnsi="宋体" w:cs="宋体"/>
          <w:i w:val="0"/>
          <w:iCs w:val="0"/>
          <w:color w:val="000000"/>
          <w:kern w:val="0"/>
          <w:sz w:val="24"/>
          <w:szCs w:val="24"/>
          <w:highlight w:val="none"/>
          <w:u w:val="none"/>
          <w:lang w:val="en-US" w:eastAsia="zh-CN" w:bidi="ar"/>
        </w:rPr>
        <w:t>投标人</w:t>
      </w:r>
      <w:r>
        <w:rPr>
          <w:rFonts w:hint="eastAsia" w:ascii="宋体" w:hAnsi="宋体" w:eastAsia="宋体" w:cs="宋体"/>
          <w:i w:val="0"/>
          <w:iCs w:val="0"/>
          <w:color w:val="000000"/>
          <w:kern w:val="0"/>
          <w:sz w:val="24"/>
          <w:szCs w:val="24"/>
          <w:highlight w:val="none"/>
          <w:u w:val="none"/>
          <w:lang w:val="en-US" w:eastAsia="zh-CN" w:bidi="ar"/>
        </w:rPr>
        <w:t>所报产品单价均为固定单价，合同期间不予调整；</w:t>
      </w:r>
    </w:p>
    <w:p w14:paraId="3D3A57A2">
      <w:pPr>
        <w:pStyle w:val="52"/>
        <w:snapToGrid w:val="0"/>
        <w:spacing w:line="336" w:lineRule="auto"/>
        <w:ind w:firstLine="480" w:firstLineChars="200"/>
        <w:jc w:val="left"/>
        <w:outlineLvl w:val="9"/>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r>
        <w:rPr>
          <w:rFonts w:hint="eastAsia"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投标人各单项报价不得超出清单中的“</w:t>
      </w:r>
      <w:r>
        <w:rPr>
          <w:rFonts w:hint="eastAsia" w:hAnsi="宋体" w:cs="宋体"/>
          <w:i w:val="0"/>
          <w:iCs w:val="0"/>
          <w:color w:val="000000"/>
          <w:kern w:val="0"/>
          <w:sz w:val="24"/>
          <w:szCs w:val="24"/>
          <w:highlight w:val="none"/>
          <w:u w:val="none"/>
          <w:lang w:val="en-US" w:eastAsia="zh-CN" w:bidi="ar"/>
        </w:rPr>
        <w:t>最高限价</w:t>
      </w:r>
      <w:r>
        <w:rPr>
          <w:rFonts w:hint="eastAsia" w:ascii="宋体" w:hAnsi="宋体" w:eastAsia="宋体" w:cs="宋体"/>
          <w:i w:val="0"/>
          <w:iCs w:val="0"/>
          <w:color w:val="000000"/>
          <w:kern w:val="0"/>
          <w:sz w:val="24"/>
          <w:szCs w:val="24"/>
          <w:highlight w:val="none"/>
          <w:u w:val="none"/>
          <w:lang w:val="en-US" w:eastAsia="zh-CN" w:bidi="ar"/>
        </w:rPr>
        <w:t>”，否则按无效投标处理。</w:t>
      </w:r>
    </w:p>
    <w:p w14:paraId="02F9CACC">
      <w:pPr>
        <w:spacing w:line="360" w:lineRule="auto"/>
        <w:ind w:firstLine="480" w:firstLineChars="200"/>
        <w:jc w:val="left"/>
        <w:rPr>
          <w:rFonts w:hint="eastAsia"/>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6.</w:t>
      </w:r>
      <w:r>
        <w:rPr>
          <w:rFonts w:hint="eastAsia" w:ascii="宋体" w:hAnsi="宋体" w:cs="宋体"/>
          <w:i w:val="0"/>
          <w:iCs w:val="0"/>
          <w:color w:val="000000"/>
          <w:kern w:val="0"/>
          <w:sz w:val="24"/>
          <w:szCs w:val="24"/>
          <w:highlight w:val="none"/>
          <w:u w:val="none"/>
          <w:lang w:val="en-US" w:eastAsia="zh-CN" w:bidi="ar"/>
        </w:rPr>
        <w:t>投标人</w:t>
      </w:r>
      <w:r>
        <w:rPr>
          <w:rFonts w:hint="eastAsia"/>
          <w:sz w:val="24"/>
          <w:szCs w:val="24"/>
          <w:highlight w:val="none"/>
          <w:lang w:eastAsia="zh-CN"/>
        </w:rPr>
        <w:t>提供的商品应与</w:t>
      </w:r>
      <w:r>
        <w:rPr>
          <w:rFonts w:hint="eastAsia"/>
          <w:sz w:val="24"/>
          <w:szCs w:val="24"/>
          <w:highlight w:val="none"/>
          <w:lang w:val="en-US" w:eastAsia="zh-CN"/>
        </w:rPr>
        <w:t>采购人</w:t>
      </w:r>
      <w:r>
        <w:rPr>
          <w:rFonts w:hint="eastAsia"/>
          <w:sz w:val="24"/>
          <w:szCs w:val="24"/>
          <w:highlight w:val="none"/>
          <w:lang w:eastAsia="zh-CN"/>
        </w:rPr>
        <w:t>提供的采购需求表内的商品一致</w:t>
      </w:r>
      <w:r>
        <w:rPr>
          <w:rFonts w:hint="eastAsia"/>
          <w:sz w:val="24"/>
          <w:szCs w:val="24"/>
          <w:highlight w:val="none"/>
          <w:lang w:val="en-US" w:eastAsia="zh-CN"/>
        </w:rPr>
        <w:t>。</w:t>
      </w:r>
    </w:p>
    <w:p w14:paraId="5D25602B">
      <w:pPr>
        <w:spacing w:line="360" w:lineRule="auto"/>
        <w:ind w:firstLine="480" w:firstLineChars="200"/>
        <w:jc w:val="left"/>
        <w:rPr>
          <w:rFonts w:hint="default"/>
          <w:color w:val="auto"/>
          <w:lang w:val="en-US" w:eastAsia="zh-CN"/>
        </w:rPr>
      </w:pPr>
      <w:r>
        <w:rPr>
          <w:rFonts w:hint="eastAsia"/>
          <w:color w:val="auto"/>
          <w:sz w:val="24"/>
          <w:szCs w:val="24"/>
          <w:highlight w:val="none"/>
          <w:lang w:val="en-US" w:eastAsia="zh-CN"/>
        </w:rPr>
        <w:t>7.合同签订后，</w:t>
      </w:r>
      <w:r>
        <w:rPr>
          <w:rFonts w:hint="eastAsia" w:ascii="宋体" w:hAnsi="宋体" w:cs="宋体"/>
          <w:color w:val="auto"/>
          <w:kern w:val="0"/>
          <w:sz w:val="24"/>
          <w:szCs w:val="24"/>
          <w:highlight w:val="none"/>
          <w:u w:val="none"/>
          <w:lang w:val="en-US" w:eastAsia="zh-CN"/>
        </w:rPr>
        <w:t>中标人应根据采购人提供的书面采购任务单进行生产/备货。</w:t>
      </w:r>
    </w:p>
    <w:p w14:paraId="46F9DC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黑体" w:hAnsi="黑体" w:eastAsia="黑体" w:cs="黑体"/>
          <w:b/>
          <w:bCs/>
          <w:color w:val="000000" w:themeColor="text1"/>
          <w:sz w:val="28"/>
          <w:szCs w:val="28"/>
          <w:highlight w:val="none"/>
          <w:lang w:val="en-US" w:eastAsia="zh-CN"/>
          <w14:textFill>
            <w14:solidFill>
              <w14:schemeClr w14:val="tx1"/>
            </w14:solidFill>
          </w14:textFill>
        </w:rPr>
        <w:t>二</w:t>
      </w:r>
      <w:r>
        <w:rPr>
          <w:rFonts w:hint="eastAsia" w:ascii="黑体" w:hAnsi="黑体" w:eastAsia="黑体" w:cs="黑体"/>
          <w:b/>
          <w:bCs/>
          <w:color w:val="000000" w:themeColor="text1"/>
          <w:sz w:val="28"/>
          <w:szCs w:val="28"/>
          <w:highlight w:val="none"/>
          <w14:textFill>
            <w14:solidFill>
              <w14:schemeClr w14:val="tx1"/>
            </w14:solidFill>
          </w14:textFill>
        </w:rPr>
        <w:t>、商务部分</w:t>
      </w:r>
    </w:p>
    <w:p w14:paraId="01CD55A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1.服务地点：</w:t>
      </w:r>
      <w:r>
        <w:rPr>
          <w:rFonts w:hint="eastAsia" w:ascii="宋体" w:hAnsi="宋体" w:cs="宋体"/>
          <w:b w:val="0"/>
          <w:bCs/>
          <w:color w:val="auto"/>
          <w:kern w:val="0"/>
          <w:sz w:val="24"/>
          <w:szCs w:val="24"/>
          <w:highlight w:val="none"/>
          <w:lang w:val="en-US" w:eastAsia="zh-CN" w:bidi="ar"/>
        </w:rPr>
        <w:t>采购</w:t>
      </w:r>
      <w:r>
        <w:rPr>
          <w:rFonts w:hint="eastAsia" w:ascii="宋体" w:hAnsi="宋体" w:eastAsia="宋体" w:cs="宋体"/>
          <w:b w:val="0"/>
          <w:bCs/>
          <w:color w:val="auto"/>
          <w:kern w:val="0"/>
          <w:sz w:val="24"/>
          <w:szCs w:val="24"/>
          <w:highlight w:val="none"/>
          <w:lang w:val="en-US" w:eastAsia="zh-CN" w:bidi="ar"/>
        </w:rPr>
        <w:t>人指定地点。</w:t>
      </w:r>
    </w:p>
    <w:p w14:paraId="2A7742D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供货期限：</w:t>
      </w:r>
      <w:r>
        <w:rPr>
          <w:rFonts w:hint="eastAsia" w:ascii="宋体" w:hAnsi="宋体" w:eastAsia="宋体" w:cs="宋体"/>
          <w:color w:val="auto"/>
          <w:sz w:val="24"/>
          <w:szCs w:val="24"/>
          <w:highlight w:val="none"/>
          <w:lang w:val="en-US" w:eastAsia="zh-CN"/>
        </w:rPr>
        <w:t>30天（收到采购任务单后30天内完成供货、安装调试完毕)。中标人若在合同履行期间出现违反法律、行政法规、地方性法规、有关行业管理的标准规定、招标文件及双方合同约定或发生安全事故、人身伤亡事故和经济纠纷等影响社会和谐稳定事件的，招标人有权选择提前终止合同。</w:t>
      </w:r>
    </w:p>
    <w:p w14:paraId="4D9A83F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预算金额：</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1069978元（项目招标价可能与实际结算价偏离，供货结算以中标单价为准，据实结算。如实际结算金额低于本项目预算金额，</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要充分考虑风险，采购人不承担由此造成的损失）；</w:t>
      </w:r>
      <w:r>
        <w:rPr>
          <w:rFonts w:hint="eastAsia" w:ascii="宋体" w:hAnsi="宋体" w:eastAsia="宋体" w:cs="宋体"/>
          <w:b w:val="0"/>
          <w:bCs w:val="0"/>
          <w:color w:val="auto"/>
          <w:sz w:val="24"/>
          <w:highlight w:val="none"/>
          <w:lang w:val="en-US" w:eastAsia="zh-CN"/>
        </w:rPr>
        <w:t>招采合同履行中，确需追加与合同标的相同的货物的</w:t>
      </w:r>
      <w:r>
        <w:rPr>
          <w:rFonts w:hint="eastAsia" w:ascii="宋体" w:hAnsi="宋体" w:cs="宋体"/>
          <w:b w:val="0"/>
          <w:bCs w:val="0"/>
          <w:color w:val="auto"/>
          <w:sz w:val="24"/>
          <w:highlight w:val="none"/>
          <w:lang w:val="en-US" w:eastAsia="zh-CN"/>
        </w:rPr>
        <w:t>，</w:t>
      </w:r>
      <w:r>
        <w:rPr>
          <w:rFonts w:hint="eastAsia" w:ascii="宋体" w:hAnsi="宋体" w:eastAsia="宋体" w:cs="宋体"/>
          <w:b w:val="0"/>
          <w:bCs w:val="0"/>
          <w:color w:val="auto"/>
          <w:sz w:val="24"/>
          <w:highlight w:val="none"/>
          <w:lang w:val="en-US" w:eastAsia="zh-CN"/>
        </w:rPr>
        <w:t>在不改变合同其他条款的前提下，可以与中标单位协商签订补充合同，但所有补充合同的招采金额不得超过原合同（采购预算价）招采金额的10%。</w:t>
      </w:r>
    </w:p>
    <w:p w14:paraId="532A7A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4.</w:t>
      </w:r>
      <w:r>
        <w:rPr>
          <w:rFonts w:hint="eastAsia" w:ascii="宋体" w:hAnsi="宋体" w:cs="宋体"/>
          <w:b/>
          <w:bCs/>
          <w:color w:val="auto"/>
          <w:sz w:val="24"/>
          <w:szCs w:val="24"/>
          <w:highlight w:val="none"/>
        </w:rPr>
        <w:t>售后服务要求</w:t>
      </w:r>
      <w:r>
        <w:rPr>
          <w:rFonts w:hint="eastAsia" w:ascii="宋体" w:hAnsi="宋体" w:cs="宋体"/>
          <w:b/>
          <w:bCs/>
          <w:color w:val="auto"/>
          <w:sz w:val="24"/>
          <w:szCs w:val="24"/>
          <w:highlight w:val="none"/>
          <w:lang w:eastAsia="zh-CN"/>
        </w:rPr>
        <w:t>：</w:t>
      </w:r>
    </w:p>
    <w:p w14:paraId="7F936DE9">
      <w:pPr>
        <w:pStyle w:val="75"/>
        <w:tabs>
          <w:tab w:val="left" w:pos="9660"/>
          <w:tab w:val="left" w:pos="9781"/>
        </w:tabs>
        <w:snapToGrid w:val="0"/>
        <w:spacing w:before="0" w:line="360" w:lineRule="auto"/>
        <w:ind w:right="-21" w:rightChars="-10" w:firstLine="480" w:firstLineChars="200"/>
        <w:rPr>
          <w:rFonts w:hint="default" w:cs="宋体"/>
          <w:color w:val="auto"/>
          <w:sz w:val="24"/>
          <w:szCs w:val="24"/>
          <w:highlight w:val="none"/>
          <w:lang w:val="en-US" w:eastAsia="zh-CN"/>
        </w:rPr>
      </w:pPr>
      <w:r>
        <w:rPr>
          <w:rFonts w:hint="eastAsia" w:cs="宋体"/>
          <w:b w:val="0"/>
          <w:bCs w:val="0"/>
          <w:color w:val="auto"/>
          <w:sz w:val="24"/>
          <w:highlight w:val="none"/>
          <w:lang w:val="en-US" w:eastAsia="zh-CN"/>
        </w:rPr>
        <w:t>4.1</w:t>
      </w:r>
      <w:r>
        <w:rPr>
          <w:rFonts w:hint="eastAsia" w:cs="宋体"/>
          <w:color w:val="auto"/>
          <w:sz w:val="24"/>
          <w:szCs w:val="24"/>
          <w:highlight w:val="none"/>
          <w:lang w:eastAsia="zh-CN"/>
        </w:rPr>
        <w:t>供应商所投货物必须为全新的、符合国家有关质量标准的产品。所</w:t>
      </w:r>
      <w:r>
        <w:rPr>
          <w:rFonts w:hint="eastAsia" w:cs="宋体"/>
          <w:color w:val="auto"/>
          <w:sz w:val="24"/>
          <w:szCs w:val="24"/>
          <w:highlight w:val="none"/>
          <w:lang w:val="en-US" w:eastAsia="zh-CN"/>
        </w:rPr>
        <w:t>有</w:t>
      </w:r>
      <w:r>
        <w:rPr>
          <w:rFonts w:hint="eastAsia" w:cs="宋体"/>
          <w:color w:val="auto"/>
          <w:sz w:val="24"/>
          <w:szCs w:val="24"/>
          <w:highlight w:val="none"/>
          <w:lang w:eastAsia="zh-CN"/>
        </w:rPr>
        <w:t>产品质量保证期为</w:t>
      </w:r>
      <w:r>
        <w:rPr>
          <w:rFonts w:hint="eastAsia" w:cs="宋体"/>
          <w:color w:val="auto"/>
          <w:sz w:val="24"/>
          <w:szCs w:val="24"/>
          <w:highlight w:val="none"/>
          <w:lang w:val="en-US" w:eastAsia="zh-CN"/>
        </w:rPr>
        <w:t>一</w:t>
      </w:r>
      <w:r>
        <w:rPr>
          <w:rFonts w:hint="eastAsia" w:cs="宋体"/>
          <w:color w:val="auto"/>
          <w:sz w:val="24"/>
          <w:szCs w:val="24"/>
          <w:highlight w:val="none"/>
          <w:lang w:eastAsia="zh-CN"/>
        </w:rPr>
        <w:t>年（相关标准大于</w:t>
      </w:r>
      <w:r>
        <w:rPr>
          <w:rFonts w:hint="eastAsia" w:cs="宋体"/>
          <w:color w:val="auto"/>
          <w:sz w:val="24"/>
          <w:szCs w:val="24"/>
          <w:highlight w:val="none"/>
          <w:lang w:val="en-US" w:eastAsia="zh-CN"/>
        </w:rPr>
        <w:t>一</w:t>
      </w:r>
      <w:r>
        <w:rPr>
          <w:rFonts w:hint="eastAsia" w:cs="宋体"/>
          <w:color w:val="auto"/>
          <w:sz w:val="24"/>
          <w:szCs w:val="24"/>
          <w:highlight w:val="none"/>
          <w:lang w:eastAsia="zh-CN"/>
        </w:rPr>
        <w:t>年的，按相关标准执行）。</w:t>
      </w:r>
      <w:r>
        <w:rPr>
          <w:rFonts w:hint="eastAsia" w:cs="宋体"/>
          <w:color w:val="auto"/>
          <w:sz w:val="24"/>
          <w:szCs w:val="24"/>
          <w:highlight w:val="none"/>
          <w:lang w:val="en-US" w:eastAsia="zh-CN"/>
        </w:rPr>
        <w:tab/>
      </w:r>
    </w:p>
    <w:p w14:paraId="7A4DCA48">
      <w:pPr>
        <w:tabs>
          <w:tab w:val="left" w:pos="9660"/>
        </w:tabs>
        <w:autoSpaceDE w:val="0"/>
        <w:autoSpaceDN w:val="0"/>
        <w:adjustRightInd w:val="0"/>
        <w:snapToGrid w:val="0"/>
        <w:spacing w:line="360" w:lineRule="auto"/>
        <w:ind w:right="-21" w:rightChars="-10" w:firstLine="480" w:firstLineChars="200"/>
        <w:rPr>
          <w:rFonts w:hint="eastAsia" w:ascii="宋体" w:hAnsi="宋体" w:cs="宋体"/>
          <w:color w:val="auto"/>
          <w:sz w:val="24"/>
          <w:szCs w:val="28"/>
          <w:highlight w:val="none"/>
          <w:lang w:val="en-US" w:eastAsia="zh-CN"/>
        </w:rPr>
      </w:pPr>
      <w:r>
        <w:rPr>
          <w:rFonts w:hint="eastAsia" w:ascii="宋体" w:hAnsi="宋体" w:cs="宋体"/>
          <w:b w:val="0"/>
          <w:bCs w:val="0"/>
          <w:color w:val="auto"/>
          <w:sz w:val="24"/>
          <w:szCs w:val="28"/>
          <w:highlight w:val="none"/>
          <w:lang w:val="en-US" w:eastAsia="zh-CN"/>
        </w:rPr>
        <w:t xml:space="preserve">4.2 </w:t>
      </w:r>
      <w:r>
        <w:rPr>
          <w:rFonts w:hint="eastAsia" w:ascii="宋体" w:hAnsi="宋体" w:cs="宋体"/>
          <w:color w:val="auto"/>
          <w:sz w:val="24"/>
          <w:szCs w:val="28"/>
          <w:highlight w:val="none"/>
        </w:rPr>
        <w:t>质量保证期自采购人（或其授权代表）在验收报告上签署“验收合格”之日起计算；</w:t>
      </w:r>
      <w:r>
        <w:rPr>
          <w:rFonts w:hint="eastAsia" w:ascii="宋体" w:hAnsi="宋体" w:cs="宋体"/>
          <w:color w:val="auto"/>
          <w:sz w:val="24"/>
          <w:szCs w:val="28"/>
          <w:highlight w:val="none"/>
          <w:lang w:val="en-US" w:eastAsia="zh-CN"/>
        </w:rPr>
        <w:t>中标人供应的货物在质保期内使用过程中发生质量问题的，由中标人负责免费解决。</w:t>
      </w:r>
    </w:p>
    <w:p w14:paraId="03F7F0E6">
      <w:pPr>
        <w:tabs>
          <w:tab w:val="left" w:pos="9660"/>
        </w:tabs>
        <w:autoSpaceDE w:val="0"/>
        <w:autoSpaceDN w:val="0"/>
        <w:adjustRightInd w:val="0"/>
        <w:snapToGrid w:val="0"/>
        <w:spacing w:line="360" w:lineRule="auto"/>
        <w:ind w:right="-21" w:rightChars="-10" w:firstLine="480" w:firstLineChars="200"/>
        <w:rPr>
          <w:rFonts w:hint="eastAsia" w:ascii="宋体" w:hAnsi="宋体" w:cs="宋体"/>
          <w:b/>
          <w:bCs/>
          <w:color w:val="auto"/>
          <w:sz w:val="24"/>
          <w:szCs w:val="24"/>
          <w:highlight w:val="none"/>
          <w:lang w:val="en-US" w:eastAsia="zh-CN"/>
        </w:rPr>
      </w:pPr>
      <w:r>
        <w:rPr>
          <w:rFonts w:hint="eastAsia" w:ascii="宋体" w:hAnsi="宋体" w:cs="宋体"/>
          <w:b w:val="0"/>
          <w:bCs w:val="0"/>
          <w:color w:val="auto"/>
          <w:sz w:val="24"/>
          <w:szCs w:val="28"/>
          <w:highlight w:val="none"/>
          <w:lang w:val="en-US" w:eastAsia="zh-CN"/>
        </w:rPr>
        <w:t xml:space="preserve">4.3 </w:t>
      </w:r>
      <w:r>
        <w:rPr>
          <w:rFonts w:hint="eastAsia" w:ascii="宋体" w:hAnsi="宋体" w:cs="宋体"/>
          <w:color w:val="auto"/>
          <w:sz w:val="24"/>
          <w:szCs w:val="28"/>
          <w:highlight w:val="none"/>
        </w:rPr>
        <w:t>在质量保证期内，供应商应常备所供货物的备品备件，接到故障通知后24小时</w:t>
      </w:r>
      <w:r>
        <w:rPr>
          <w:rFonts w:hint="eastAsia" w:ascii="宋体" w:hAnsi="宋体" w:cs="宋体"/>
          <w:color w:val="auto"/>
          <w:sz w:val="24"/>
          <w:szCs w:val="28"/>
          <w:highlight w:val="none"/>
          <w:lang w:bidi="en-US"/>
        </w:rPr>
        <w:t>响应免费维修或更换，由此发生的费用（非人为损坏）由</w:t>
      </w:r>
      <w:r>
        <w:rPr>
          <w:rFonts w:hint="eastAsia" w:ascii="宋体" w:hAnsi="宋体" w:cs="宋体"/>
          <w:color w:val="auto"/>
          <w:sz w:val="24"/>
          <w:szCs w:val="28"/>
          <w:highlight w:val="none"/>
          <w:lang w:eastAsia="zh-CN" w:bidi="en-US"/>
        </w:rPr>
        <w:t>中标</w:t>
      </w:r>
      <w:r>
        <w:rPr>
          <w:rFonts w:hint="eastAsia" w:ascii="宋体" w:hAnsi="宋体" w:cs="宋体"/>
          <w:color w:val="auto"/>
          <w:sz w:val="24"/>
          <w:szCs w:val="28"/>
          <w:highlight w:val="none"/>
          <w:lang w:bidi="en-US"/>
        </w:rPr>
        <w:t>供应商承担。质量保修期内所有货物保修服务方式均为</w:t>
      </w:r>
      <w:r>
        <w:rPr>
          <w:rFonts w:hint="eastAsia" w:ascii="宋体" w:hAnsi="宋体" w:cs="宋体"/>
          <w:color w:val="auto"/>
          <w:sz w:val="24"/>
          <w:szCs w:val="28"/>
          <w:highlight w:val="none"/>
          <w:lang w:eastAsia="zh-CN" w:bidi="en-US"/>
        </w:rPr>
        <w:t>中标</w:t>
      </w:r>
      <w:r>
        <w:rPr>
          <w:rFonts w:hint="eastAsia" w:ascii="宋体" w:hAnsi="宋体" w:cs="宋体"/>
          <w:color w:val="auto"/>
          <w:sz w:val="24"/>
          <w:szCs w:val="28"/>
          <w:highlight w:val="none"/>
          <w:lang w:bidi="en-US"/>
        </w:rPr>
        <w:t>供应商上门保修，即由</w:t>
      </w:r>
      <w:r>
        <w:rPr>
          <w:rFonts w:hint="eastAsia" w:ascii="宋体" w:hAnsi="宋体" w:cs="宋体"/>
          <w:color w:val="auto"/>
          <w:sz w:val="24"/>
          <w:szCs w:val="28"/>
          <w:highlight w:val="none"/>
          <w:lang w:eastAsia="zh-CN" w:bidi="en-US"/>
        </w:rPr>
        <w:t>中标</w:t>
      </w:r>
      <w:r>
        <w:rPr>
          <w:rFonts w:hint="eastAsia" w:ascii="宋体" w:hAnsi="宋体" w:cs="宋体"/>
          <w:color w:val="auto"/>
          <w:sz w:val="24"/>
          <w:szCs w:val="28"/>
          <w:highlight w:val="none"/>
          <w:lang w:bidi="en-US"/>
        </w:rPr>
        <w:t>供应商或原厂家派员到使用现场维修</w:t>
      </w:r>
      <w:r>
        <w:rPr>
          <w:rFonts w:hint="eastAsia" w:ascii="宋体" w:hAnsi="宋体" w:cs="宋体"/>
          <w:color w:val="auto"/>
          <w:sz w:val="24"/>
          <w:szCs w:val="28"/>
          <w:highlight w:val="none"/>
          <w:lang w:eastAsia="zh-CN" w:bidi="en-US"/>
        </w:rPr>
        <w:t>，</w:t>
      </w:r>
      <w:r>
        <w:rPr>
          <w:rFonts w:hint="eastAsia" w:ascii="宋体" w:hAnsi="宋体" w:cs="宋体"/>
          <w:color w:val="auto"/>
          <w:sz w:val="24"/>
          <w:szCs w:val="28"/>
          <w:highlight w:val="none"/>
          <w:lang w:bidi="en-US"/>
        </w:rPr>
        <w:t>由此产生的一切费用均由</w:t>
      </w:r>
      <w:r>
        <w:rPr>
          <w:rFonts w:hint="eastAsia" w:ascii="宋体" w:hAnsi="宋体" w:cs="宋体"/>
          <w:color w:val="auto"/>
          <w:sz w:val="24"/>
          <w:szCs w:val="28"/>
          <w:highlight w:val="none"/>
          <w:lang w:eastAsia="zh-CN" w:bidi="en-US"/>
        </w:rPr>
        <w:t>中标</w:t>
      </w:r>
      <w:r>
        <w:rPr>
          <w:rFonts w:hint="eastAsia" w:ascii="宋体" w:hAnsi="宋体" w:cs="宋体"/>
          <w:color w:val="auto"/>
          <w:sz w:val="24"/>
          <w:szCs w:val="28"/>
          <w:highlight w:val="none"/>
          <w:lang w:bidi="en-US"/>
        </w:rPr>
        <w:t>供应商承担。</w:t>
      </w:r>
    </w:p>
    <w:p w14:paraId="031D60E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5.支付及付款</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方式：</w:t>
      </w:r>
    </w:p>
    <w:p w14:paraId="7A5EDD9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5.1支付方式</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包含但不限于银行转账、现金、银行承兑汇票、商业票据等支付方式。</w:t>
      </w:r>
    </w:p>
    <w:p w14:paraId="6A0A10C6">
      <w:pPr>
        <w:keepNext w:val="0"/>
        <w:keepLines w:val="0"/>
        <w:pageBreakBefore w:val="0"/>
        <w:widowControl/>
        <w:kinsoku/>
        <w:wordWrap/>
        <w:overflowPunct/>
        <w:topLinePunct w:val="0"/>
        <w:autoSpaceDE/>
        <w:autoSpaceDN/>
        <w:bidi w:val="0"/>
        <w:adjustRightInd/>
        <w:snapToGrid w:val="0"/>
        <w:spacing w:beforeLines="20" w:afterLines="20" w:line="360" w:lineRule="auto"/>
        <w:ind w:right="-105" w:rightChars="-50" w:firstLine="482" w:firstLineChars="200"/>
        <w:jc w:val="left"/>
        <w:textAlignment w:val="auto"/>
        <w:outlineLvl w:val="9"/>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5.2付款方式</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t>完成合同签订，支付合同总价款的20%作为预付款；货物(产品)进场并经采购人验收合格后30天内，支付至合同总价款的50%；货物(产品)安装调试完成并经采购人验收合格后30天内，支付至合同总价款的97%；3%的质保金待货物(产品)质保期满后一次性支付。</w:t>
      </w:r>
    </w:p>
    <w:p w14:paraId="1E19A20C">
      <w:pPr>
        <w:pStyle w:val="5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6.履约保证金：</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中标人</w:t>
      </w:r>
      <w:r>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t>在接到中标通知书后签订合同前30天内向采购人提交合同金额的10%(或等同价值的银行保函)作为履约保证金，由</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中标人</w:t>
      </w:r>
      <w:r>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t>的公司账户转入采购人的指定账户。</w:t>
      </w:r>
    </w:p>
    <w:p w14:paraId="00FBE36A">
      <w:pPr>
        <w:pStyle w:val="3"/>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rPr>
          <w:rFonts w:hint="eastAsia" w:asciiTheme="minorEastAsia" w:hAnsiTheme="minorEastAsia" w:eastAsiaTheme="minorEastAsia" w:cstheme="minorEastAsia"/>
          <w:b w:val="0"/>
          <w:bCs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highlight w:val="none"/>
          <w:lang w:val="en-US" w:eastAsia="zh-CN" w:bidi="ar-SA"/>
          <w14:textFill>
            <w14:solidFill>
              <w14:schemeClr w14:val="tx1"/>
            </w14:solidFill>
          </w14:textFill>
        </w:rPr>
        <w:t>7.</w:t>
      </w:r>
      <w:r>
        <w:rPr>
          <w:rFonts w:hint="eastAsia" w:asciiTheme="minorEastAsia" w:hAnsiTheme="minorEastAsia" w:eastAsiaTheme="minorEastAsia" w:cstheme="minorEastAsia"/>
          <w:b/>
          <w:bCs/>
          <w:color w:val="000000" w:themeColor="text1"/>
          <w:kern w:val="2"/>
          <w:sz w:val="24"/>
          <w:szCs w:val="24"/>
          <w:highlight w:val="none"/>
          <w:lang w:val="en-US" w:eastAsia="zh-CN" w:bidi="ar-SA"/>
          <w14:textFill>
            <w14:solidFill>
              <w14:schemeClr w14:val="tx1"/>
            </w14:solidFill>
          </w14:textFill>
        </w:rPr>
        <w:t>履约保证金退回方式：</w:t>
      </w:r>
      <w:r>
        <w:rPr>
          <w:rFonts w:hint="eastAsia" w:asciiTheme="minorEastAsia" w:hAnsiTheme="minorEastAsia" w:eastAsiaTheme="minorEastAsia" w:cstheme="minorEastAsia"/>
          <w:b w:val="0"/>
          <w:bCs w:val="0"/>
          <w:color w:val="000000" w:themeColor="text1"/>
          <w:kern w:val="2"/>
          <w:sz w:val="24"/>
          <w:szCs w:val="24"/>
          <w:highlight w:val="none"/>
          <w:lang w:val="en-US" w:eastAsia="zh-CN" w:bidi="ar-SA"/>
          <w14:textFill>
            <w14:solidFill>
              <w14:schemeClr w14:val="tx1"/>
            </w14:solidFill>
          </w14:textFill>
        </w:rPr>
        <w:t>合同履约完成并验收合格后28日内，由采购人一次性无息返还。若中标人提交银行履约保函，保函期限至本项目合同履约完成并验收合格后28日内为止。</w:t>
      </w:r>
    </w:p>
    <w:p w14:paraId="7398FACD">
      <w:pPr>
        <w:pStyle w:val="3"/>
        <w:snapToGrid/>
        <w:spacing w:before="0" w:line="360" w:lineRule="auto"/>
        <w:ind w:left="0" w:leftChars="0" w:firstLine="482" w:firstLineChars="200"/>
        <w:jc w:val="left"/>
        <w:rPr>
          <w:rFonts w:cs="宋体"/>
          <w:b/>
          <w:color w:val="auto"/>
          <w:sz w:val="24"/>
          <w:szCs w:val="24"/>
          <w:lang w:eastAsia="zh-CN"/>
        </w:rPr>
      </w:pPr>
      <w:r>
        <w:rPr>
          <w:rFonts w:hint="eastAsia" w:cs="宋体"/>
          <w:b/>
          <w:color w:val="auto"/>
          <w:sz w:val="24"/>
          <w:szCs w:val="24"/>
          <w:lang w:val="en-US" w:eastAsia="zh-CN"/>
        </w:rPr>
        <w:t>8.</w:t>
      </w:r>
      <w:r>
        <w:rPr>
          <w:rFonts w:hint="eastAsia" w:cs="宋体"/>
          <w:bCs/>
          <w:color w:val="auto"/>
          <w:sz w:val="24"/>
          <w:szCs w:val="24"/>
          <w:lang w:eastAsia="zh-CN"/>
        </w:rPr>
        <w:t>交货包装：</w:t>
      </w:r>
    </w:p>
    <w:p w14:paraId="27037052">
      <w:pPr>
        <w:numPr>
          <w:ilvl w:val="0"/>
          <w:numId w:val="2"/>
        </w:numPr>
        <w:autoSpaceDE/>
        <w:autoSpaceDN/>
        <w:adjustRightInd w:val="0"/>
        <w:snapToGrid w:val="0"/>
        <w:spacing w:line="360" w:lineRule="auto"/>
        <w:ind w:left="0" w:firstLine="480" w:firstLineChars="200"/>
        <w:rPr>
          <w:rFonts w:ascii="宋体" w:hAnsi="宋体" w:cs="仿宋_GB2312"/>
          <w:b/>
          <w:bCs/>
          <w:color w:val="auto"/>
          <w:sz w:val="24"/>
          <w:szCs w:val="28"/>
          <w:lang w:val="zh-CN"/>
        </w:rPr>
      </w:pPr>
      <w:r>
        <w:rPr>
          <w:rFonts w:hint="eastAsia" w:ascii="宋体" w:hAnsi="宋体"/>
          <w:color w:val="auto"/>
          <w:sz w:val="24"/>
          <w:szCs w:val="28"/>
          <w:lang w:eastAsia="zh-CN"/>
        </w:rPr>
        <w:t>中标人</w:t>
      </w:r>
      <w:r>
        <w:rPr>
          <w:rFonts w:hint="eastAsia" w:ascii="宋体" w:hAnsi="宋体"/>
          <w:color w:val="auto"/>
          <w:sz w:val="24"/>
          <w:szCs w:val="28"/>
        </w:rPr>
        <w:t>提供的全部货物均应按标准保护措施进行包装，这类包装应适应于远距离运输、防潮、防震、防锈和防野蛮装卸，以确保货物安全无损运抵指定现场。由于包装不善所引起的货物锈蚀、损坏和损失均由</w:t>
      </w:r>
      <w:r>
        <w:rPr>
          <w:rFonts w:hint="eastAsia" w:ascii="宋体" w:hAnsi="宋体"/>
          <w:color w:val="auto"/>
          <w:sz w:val="24"/>
          <w:szCs w:val="28"/>
          <w:lang w:eastAsia="zh-CN"/>
        </w:rPr>
        <w:t>中标人</w:t>
      </w:r>
      <w:r>
        <w:rPr>
          <w:rFonts w:hint="eastAsia" w:ascii="宋体" w:hAnsi="宋体"/>
          <w:color w:val="auto"/>
          <w:sz w:val="24"/>
          <w:szCs w:val="28"/>
        </w:rPr>
        <w:t>负责。</w:t>
      </w:r>
    </w:p>
    <w:p w14:paraId="6D8B5F8C">
      <w:pPr>
        <w:numPr>
          <w:ilvl w:val="0"/>
          <w:numId w:val="2"/>
        </w:numPr>
        <w:autoSpaceDE/>
        <w:autoSpaceDN/>
        <w:adjustRightInd w:val="0"/>
        <w:snapToGrid w:val="0"/>
        <w:spacing w:line="360" w:lineRule="auto"/>
        <w:ind w:left="0" w:firstLine="480" w:firstLineChars="200"/>
        <w:rPr>
          <w:rFonts w:ascii="宋体" w:hAnsi="宋体"/>
          <w:color w:val="auto"/>
          <w:sz w:val="24"/>
          <w:szCs w:val="28"/>
        </w:rPr>
      </w:pPr>
      <w:r>
        <w:rPr>
          <w:rFonts w:hint="eastAsia" w:ascii="宋体" w:hAnsi="宋体"/>
          <w:color w:val="auto"/>
          <w:sz w:val="24"/>
          <w:szCs w:val="28"/>
          <w:lang w:eastAsia="zh-CN"/>
        </w:rPr>
        <w:t>中标人</w:t>
      </w:r>
      <w:r>
        <w:rPr>
          <w:rFonts w:hint="eastAsia" w:ascii="宋体" w:hAnsi="宋体"/>
          <w:color w:val="auto"/>
          <w:sz w:val="24"/>
          <w:szCs w:val="28"/>
        </w:rPr>
        <w:t>交货时，须提供</w:t>
      </w:r>
      <w:r>
        <w:rPr>
          <w:rFonts w:hint="eastAsia" w:ascii="宋体" w:hAnsi="宋体"/>
          <w:color w:val="auto"/>
          <w:sz w:val="24"/>
          <w:szCs w:val="28"/>
          <w:lang w:eastAsia="zh-CN"/>
        </w:rPr>
        <w:t>货物</w:t>
      </w:r>
      <w:r>
        <w:rPr>
          <w:rFonts w:hint="eastAsia" w:ascii="宋体" w:hAnsi="宋体"/>
          <w:color w:val="auto"/>
          <w:sz w:val="24"/>
          <w:szCs w:val="28"/>
        </w:rPr>
        <w:t>的全部资料，如产品合格证、装箱单、使用说明书、易损件清单、备品备件清单、出厂检验报告、质量保证书、产品现行完好标准、标准操作规程、维护保养规程等等。</w:t>
      </w:r>
    </w:p>
    <w:p w14:paraId="2CF0F125">
      <w:pPr>
        <w:numPr>
          <w:ilvl w:val="0"/>
          <w:numId w:val="2"/>
        </w:numPr>
        <w:autoSpaceDE/>
        <w:autoSpaceDN/>
        <w:adjustRightInd w:val="0"/>
        <w:snapToGrid w:val="0"/>
        <w:spacing w:line="360" w:lineRule="auto"/>
        <w:ind w:left="0" w:firstLine="480" w:firstLineChars="200"/>
        <w:rPr>
          <w:rFonts w:ascii="宋体" w:hAnsi="宋体"/>
          <w:color w:val="auto"/>
          <w:sz w:val="24"/>
          <w:szCs w:val="28"/>
        </w:rPr>
      </w:pPr>
      <w:r>
        <w:rPr>
          <w:rFonts w:hint="eastAsia" w:ascii="宋体" w:hAnsi="宋体"/>
          <w:color w:val="auto"/>
          <w:sz w:val="24"/>
          <w:szCs w:val="28"/>
          <w:lang w:eastAsia="zh-CN"/>
        </w:rPr>
        <w:t>中标人</w:t>
      </w:r>
      <w:r>
        <w:rPr>
          <w:rFonts w:hint="eastAsia" w:ascii="宋体" w:hAnsi="宋体"/>
          <w:color w:val="auto"/>
          <w:sz w:val="24"/>
          <w:szCs w:val="28"/>
        </w:rPr>
        <w:t>提供的全部货物所有附件必须都配备齐全，所供货设备外包箱注明用户信息，原厂设备完整，不得折封，以上参数如有不符直接退货。</w:t>
      </w:r>
    </w:p>
    <w:p w14:paraId="2F67F30E">
      <w:pPr>
        <w:numPr>
          <w:ilvl w:val="0"/>
          <w:numId w:val="2"/>
        </w:numPr>
        <w:autoSpaceDE/>
        <w:autoSpaceDN/>
        <w:adjustRightInd w:val="0"/>
        <w:snapToGrid w:val="0"/>
        <w:spacing w:line="360" w:lineRule="auto"/>
        <w:ind w:left="0" w:firstLine="480" w:firstLineChars="200"/>
        <w:rPr>
          <w:rFonts w:ascii="宋体" w:hAnsi="宋体"/>
          <w:color w:val="auto"/>
          <w:sz w:val="24"/>
          <w:szCs w:val="28"/>
        </w:rPr>
      </w:pPr>
      <w:r>
        <w:rPr>
          <w:rFonts w:hint="eastAsia" w:ascii="宋体" w:hAnsi="宋体"/>
          <w:color w:val="auto"/>
          <w:sz w:val="24"/>
          <w:szCs w:val="28"/>
        </w:rPr>
        <w:t>如果</w:t>
      </w:r>
      <w:r>
        <w:rPr>
          <w:rFonts w:hint="eastAsia" w:ascii="宋体" w:hAnsi="宋体"/>
          <w:color w:val="auto"/>
          <w:sz w:val="24"/>
          <w:szCs w:val="28"/>
          <w:lang w:eastAsia="zh-CN"/>
        </w:rPr>
        <w:t>中标人</w:t>
      </w:r>
      <w:r>
        <w:rPr>
          <w:rFonts w:hint="eastAsia" w:ascii="宋体" w:hAnsi="宋体"/>
          <w:color w:val="auto"/>
          <w:sz w:val="24"/>
          <w:szCs w:val="28"/>
        </w:rPr>
        <w:t>没有按照合同规定或采购人同意延长的时间完成，每延期五天，按合同总金额的1%交付违约金；如果</w:t>
      </w:r>
      <w:r>
        <w:rPr>
          <w:rFonts w:hint="eastAsia" w:ascii="宋体" w:hAnsi="宋体"/>
          <w:color w:val="auto"/>
          <w:sz w:val="24"/>
          <w:szCs w:val="28"/>
          <w:lang w:eastAsia="zh-CN"/>
        </w:rPr>
        <w:t>中标人</w:t>
      </w:r>
      <w:r>
        <w:rPr>
          <w:rFonts w:hint="eastAsia" w:ascii="宋体" w:hAnsi="宋体"/>
          <w:color w:val="auto"/>
          <w:sz w:val="24"/>
          <w:szCs w:val="28"/>
        </w:rPr>
        <w:t>应交付的违约金总额达到合同总额的5%后仍不能交付的，采购人可终止合同，因此产生的一切经济损失由</w:t>
      </w:r>
      <w:r>
        <w:rPr>
          <w:rFonts w:hint="eastAsia" w:ascii="宋体" w:hAnsi="宋体"/>
          <w:color w:val="auto"/>
          <w:sz w:val="24"/>
          <w:szCs w:val="28"/>
          <w:lang w:eastAsia="zh-CN"/>
        </w:rPr>
        <w:t>中标人</w:t>
      </w:r>
      <w:r>
        <w:rPr>
          <w:rFonts w:hint="eastAsia" w:ascii="宋体" w:hAnsi="宋体"/>
          <w:color w:val="auto"/>
          <w:sz w:val="24"/>
          <w:szCs w:val="28"/>
        </w:rPr>
        <w:t xml:space="preserve">承担；因质量问题延期交付设备时，按延期交付产品处理。 </w:t>
      </w:r>
    </w:p>
    <w:p w14:paraId="24568895">
      <w:pPr>
        <w:autoSpaceDE w:val="0"/>
        <w:autoSpaceDN w:val="0"/>
        <w:adjustRightInd w:val="0"/>
        <w:snapToGrid w:val="0"/>
        <w:spacing w:line="360" w:lineRule="auto"/>
        <w:ind w:firstLine="477" w:firstLineChars="198"/>
        <w:rPr>
          <w:rFonts w:ascii="宋体" w:hAnsi="宋体" w:cs="仿宋_GB2312"/>
          <w:b/>
          <w:bCs/>
          <w:color w:val="auto"/>
          <w:sz w:val="24"/>
          <w:szCs w:val="28"/>
          <w:lang w:val="zh-CN"/>
        </w:rPr>
      </w:pPr>
      <w:r>
        <w:rPr>
          <w:rFonts w:hint="eastAsia" w:ascii="宋体" w:hAnsi="宋体" w:cs="宋体"/>
          <w:b/>
          <w:bCs/>
          <w:color w:val="auto"/>
          <w:sz w:val="24"/>
          <w:szCs w:val="28"/>
          <w:lang w:val="en-US" w:eastAsia="zh-CN"/>
        </w:rPr>
        <w:t>9.</w:t>
      </w:r>
      <w:r>
        <w:rPr>
          <w:rFonts w:hint="eastAsia" w:ascii="宋体" w:hAnsi="宋体" w:cs="宋体"/>
          <w:b/>
          <w:bCs/>
          <w:color w:val="auto"/>
          <w:sz w:val="24"/>
          <w:szCs w:val="28"/>
          <w:lang w:val="zh-CN"/>
        </w:rPr>
        <w:t>安装、验收:</w:t>
      </w:r>
    </w:p>
    <w:p w14:paraId="24BB59B6">
      <w:pPr>
        <w:numPr>
          <w:ilvl w:val="0"/>
          <w:numId w:val="3"/>
        </w:numPr>
        <w:autoSpaceDE/>
        <w:autoSpaceDN/>
        <w:adjustRightInd w:val="0"/>
        <w:snapToGrid w:val="0"/>
        <w:spacing w:line="360" w:lineRule="auto"/>
        <w:ind w:left="0" w:firstLine="480" w:firstLineChars="200"/>
        <w:rPr>
          <w:rFonts w:hint="eastAsia" w:ascii="宋体" w:hAnsi="宋体"/>
          <w:color w:val="auto"/>
          <w:sz w:val="24"/>
          <w:szCs w:val="28"/>
        </w:rPr>
      </w:pPr>
      <w:r>
        <w:rPr>
          <w:rFonts w:hint="eastAsia" w:ascii="宋体" w:hAnsi="宋体"/>
          <w:color w:val="auto"/>
          <w:sz w:val="24"/>
          <w:szCs w:val="28"/>
          <w:lang w:eastAsia="zh-CN"/>
        </w:rPr>
        <w:t>中标人</w:t>
      </w:r>
      <w:r>
        <w:rPr>
          <w:rFonts w:hint="eastAsia" w:ascii="宋体" w:hAnsi="宋体"/>
          <w:color w:val="auto"/>
          <w:sz w:val="24"/>
          <w:szCs w:val="28"/>
        </w:rPr>
        <w:t>在交货及安装截止时间（或采购方规定的时间）内交货、安装，有关运输和保险的一切费用由</w:t>
      </w:r>
      <w:r>
        <w:rPr>
          <w:rFonts w:hint="eastAsia" w:ascii="宋体" w:hAnsi="宋体"/>
          <w:color w:val="auto"/>
          <w:sz w:val="24"/>
          <w:szCs w:val="28"/>
          <w:lang w:eastAsia="zh-CN"/>
        </w:rPr>
        <w:t>中标人</w:t>
      </w:r>
      <w:r>
        <w:rPr>
          <w:rFonts w:hint="eastAsia" w:ascii="宋体" w:hAnsi="宋体"/>
          <w:color w:val="auto"/>
          <w:sz w:val="24"/>
          <w:szCs w:val="28"/>
        </w:rPr>
        <w:t>承担。所有货物运抵现场并安装、调试、验收合格后的日期为交货日期。</w:t>
      </w:r>
    </w:p>
    <w:p w14:paraId="23CCF4DF">
      <w:pPr>
        <w:numPr>
          <w:ilvl w:val="0"/>
          <w:numId w:val="3"/>
        </w:numPr>
        <w:autoSpaceDE/>
        <w:autoSpaceDN/>
        <w:adjustRightInd w:val="0"/>
        <w:snapToGrid w:val="0"/>
        <w:spacing w:line="360" w:lineRule="auto"/>
        <w:ind w:left="0" w:firstLine="480" w:firstLineChars="200"/>
        <w:rPr>
          <w:rFonts w:hint="eastAsia" w:ascii="宋体" w:hAnsi="宋体"/>
          <w:color w:val="auto"/>
          <w:sz w:val="24"/>
          <w:szCs w:val="28"/>
        </w:rPr>
      </w:pPr>
      <w:r>
        <w:rPr>
          <w:rFonts w:hint="eastAsia" w:ascii="宋体" w:hAnsi="宋体"/>
          <w:color w:val="auto"/>
          <w:sz w:val="24"/>
          <w:szCs w:val="28"/>
        </w:rPr>
        <w:t>货物到现场后，采购人（或其授权代表）、中标人组织相关人员共同对到货货物的数量、外观、包装质量、技术资料等进行检查，经用户确认后开始安装、调试</w:t>
      </w:r>
      <w:r>
        <w:rPr>
          <w:rFonts w:hint="eastAsia" w:ascii="宋体" w:hAnsi="宋体"/>
          <w:color w:val="auto"/>
          <w:sz w:val="24"/>
          <w:szCs w:val="28"/>
          <w:lang w:eastAsia="zh-CN"/>
        </w:rPr>
        <w:t>。</w:t>
      </w:r>
    </w:p>
    <w:p w14:paraId="544CD38C">
      <w:pPr>
        <w:numPr>
          <w:ilvl w:val="0"/>
          <w:numId w:val="3"/>
        </w:numPr>
        <w:autoSpaceDE/>
        <w:autoSpaceDN/>
        <w:adjustRightInd w:val="0"/>
        <w:snapToGrid w:val="0"/>
        <w:spacing w:line="360" w:lineRule="auto"/>
        <w:ind w:left="0" w:firstLine="480" w:firstLineChars="200"/>
        <w:rPr>
          <w:rFonts w:hint="eastAsia" w:ascii="宋体" w:hAnsi="宋体"/>
          <w:color w:val="auto"/>
          <w:sz w:val="24"/>
          <w:szCs w:val="28"/>
        </w:rPr>
      </w:pPr>
      <w:r>
        <w:rPr>
          <w:rFonts w:hint="eastAsia" w:ascii="宋体" w:hAnsi="宋体"/>
          <w:color w:val="auto"/>
          <w:sz w:val="24"/>
          <w:szCs w:val="28"/>
        </w:rPr>
        <w:t>货物安装调试完成以后，在7个工作日内由采购人（或其授权代表）组织对货物依照招标文件上的技术规格</w:t>
      </w:r>
      <w:r>
        <w:rPr>
          <w:rFonts w:hint="eastAsia" w:ascii="宋体" w:hAnsi="宋体"/>
          <w:color w:val="auto"/>
          <w:sz w:val="24"/>
          <w:szCs w:val="28"/>
          <w:lang w:eastAsia="zh-CN"/>
        </w:rPr>
        <w:t>、参数</w:t>
      </w:r>
      <w:r>
        <w:rPr>
          <w:rFonts w:hint="eastAsia" w:ascii="宋体" w:hAnsi="宋体"/>
          <w:color w:val="auto"/>
          <w:sz w:val="24"/>
          <w:szCs w:val="28"/>
        </w:rPr>
        <w:t>要求</w:t>
      </w:r>
      <w:r>
        <w:rPr>
          <w:rFonts w:hint="eastAsia" w:ascii="宋体" w:hAnsi="宋体"/>
          <w:color w:val="auto"/>
          <w:sz w:val="24"/>
          <w:szCs w:val="28"/>
          <w:lang w:eastAsia="zh-CN"/>
        </w:rPr>
        <w:t>，</w:t>
      </w:r>
      <w:r>
        <w:rPr>
          <w:rFonts w:hint="eastAsia" w:ascii="宋体" w:hAnsi="宋体"/>
          <w:color w:val="auto"/>
          <w:sz w:val="24"/>
          <w:szCs w:val="28"/>
        </w:rPr>
        <w:t>以及国家有关标准进行验收；货物性能达到技术要求的，给予签收；验收合格后由采购人（或其授权代表）签署确认验收合格文件（一式四份）；全部技术资料等应当在验收合格后移交用户单位（业主），验收报告一式</w:t>
      </w:r>
      <w:r>
        <w:rPr>
          <w:rFonts w:hint="eastAsia" w:ascii="宋体" w:hAnsi="宋体"/>
          <w:color w:val="auto"/>
          <w:sz w:val="24"/>
          <w:szCs w:val="28"/>
          <w:lang w:eastAsia="zh-CN"/>
        </w:rPr>
        <w:t>三</w:t>
      </w:r>
      <w:r>
        <w:rPr>
          <w:rFonts w:hint="eastAsia" w:ascii="宋体" w:hAnsi="宋体"/>
          <w:color w:val="auto"/>
          <w:sz w:val="24"/>
          <w:szCs w:val="28"/>
        </w:rPr>
        <w:t>份，中标人、采购人、</w:t>
      </w:r>
      <w:r>
        <w:rPr>
          <w:rFonts w:hint="eastAsia" w:ascii="宋体" w:hAnsi="宋体"/>
          <w:color w:val="auto"/>
          <w:sz w:val="24"/>
          <w:szCs w:val="28"/>
          <w:lang w:eastAsia="zh-CN"/>
        </w:rPr>
        <w:t>用户单位</w:t>
      </w:r>
      <w:r>
        <w:rPr>
          <w:rFonts w:hint="eastAsia" w:ascii="宋体" w:hAnsi="宋体"/>
          <w:color w:val="auto"/>
          <w:sz w:val="24"/>
          <w:szCs w:val="28"/>
        </w:rPr>
        <w:t>各持一份。验收时如发现货物的质量、性能不符合招标文件规定标准的，本项目采购人有权在货物验收时予以拒收；因此产生的一切经济损失由</w:t>
      </w:r>
      <w:r>
        <w:rPr>
          <w:rFonts w:hint="eastAsia" w:ascii="宋体" w:hAnsi="宋体"/>
          <w:color w:val="auto"/>
          <w:sz w:val="24"/>
          <w:szCs w:val="28"/>
          <w:lang w:eastAsia="zh-CN"/>
        </w:rPr>
        <w:t>中标人</w:t>
      </w:r>
      <w:r>
        <w:rPr>
          <w:rFonts w:hint="eastAsia" w:ascii="宋体" w:hAnsi="宋体"/>
          <w:color w:val="auto"/>
          <w:sz w:val="24"/>
          <w:szCs w:val="28"/>
        </w:rPr>
        <w:t>承担</w:t>
      </w:r>
      <w:r>
        <w:rPr>
          <w:rFonts w:hint="eastAsia" w:ascii="宋体" w:hAnsi="宋体"/>
          <w:color w:val="auto"/>
          <w:sz w:val="24"/>
          <w:szCs w:val="28"/>
          <w:lang w:eastAsia="zh-CN"/>
        </w:rPr>
        <w:t>。</w:t>
      </w:r>
    </w:p>
    <w:p w14:paraId="41AB410D">
      <w:pPr>
        <w:numPr>
          <w:ilvl w:val="0"/>
          <w:numId w:val="3"/>
        </w:numPr>
        <w:autoSpaceDE/>
        <w:autoSpaceDN/>
        <w:adjustRightInd w:val="0"/>
        <w:snapToGrid w:val="0"/>
        <w:spacing w:line="360" w:lineRule="auto"/>
        <w:ind w:firstLine="480" w:firstLineChars="200"/>
        <w:rPr>
          <w:rFonts w:ascii="宋体" w:hAnsi="宋体"/>
          <w:color w:val="auto"/>
          <w:sz w:val="24"/>
          <w:szCs w:val="28"/>
        </w:rPr>
      </w:pPr>
      <w:r>
        <w:rPr>
          <w:rFonts w:hint="eastAsia" w:ascii="宋体" w:hAnsi="宋体"/>
          <w:color w:val="auto"/>
          <w:sz w:val="24"/>
          <w:szCs w:val="28"/>
        </w:rPr>
        <w:t>交付验收标准：依次序对照适用标准为：</w:t>
      </w:r>
    </w:p>
    <w:p w14:paraId="78310DA7">
      <w:pPr>
        <w:autoSpaceDE w:val="0"/>
        <w:autoSpaceDN w:val="0"/>
        <w:adjustRightInd w:val="0"/>
        <w:snapToGrid w:val="0"/>
        <w:spacing w:line="360" w:lineRule="auto"/>
        <w:ind w:firstLine="840" w:firstLineChars="350"/>
        <w:rPr>
          <w:rFonts w:ascii="宋体" w:hAnsi="宋体"/>
          <w:color w:val="auto"/>
          <w:sz w:val="24"/>
          <w:szCs w:val="28"/>
        </w:rPr>
      </w:pPr>
      <w:r>
        <w:rPr>
          <w:rFonts w:hint="eastAsia" w:ascii="宋体" w:hAnsi="宋体"/>
          <w:color w:val="auto"/>
          <w:sz w:val="24"/>
          <w:szCs w:val="28"/>
        </w:rPr>
        <w:t>①符合中华人民共和国国家安全质量标准、环保标准或行业标准；</w:t>
      </w:r>
    </w:p>
    <w:p w14:paraId="5025C0C4">
      <w:pPr>
        <w:autoSpaceDE w:val="0"/>
        <w:autoSpaceDN w:val="0"/>
        <w:adjustRightInd w:val="0"/>
        <w:snapToGrid w:val="0"/>
        <w:spacing w:line="360" w:lineRule="auto"/>
        <w:ind w:firstLine="840" w:firstLineChars="350"/>
        <w:rPr>
          <w:rFonts w:ascii="宋体" w:hAnsi="宋体"/>
          <w:color w:val="auto"/>
          <w:sz w:val="24"/>
          <w:szCs w:val="28"/>
        </w:rPr>
      </w:pPr>
      <w:r>
        <w:rPr>
          <w:rFonts w:hint="eastAsia" w:ascii="宋体" w:hAnsi="宋体"/>
          <w:color w:val="auto"/>
          <w:sz w:val="24"/>
          <w:szCs w:val="28"/>
        </w:rPr>
        <w:t>②符合招标文件和投标承诺中采购人认可的合理最佳配置、参数及各项要求；</w:t>
      </w:r>
    </w:p>
    <w:p w14:paraId="22690CDC">
      <w:pPr>
        <w:autoSpaceDE w:val="0"/>
        <w:autoSpaceDN w:val="0"/>
        <w:adjustRightInd w:val="0"/>
        <w:snapToGrid w:val="0"/>
        <w:spacing w:line="360" w:lineRule="auto"/>
        <w:ind w:firstLine="840" w:firstLineChars="350"/>
        <w:rPr>
          <w:rFonts w:ascii="宋体" w:hAnsi="宋体"/>
          <w:color w:val="auto"/>
          <w:sz w:val="24"/>
          <w:szCs w:val="28"/>
        </w:rPr>
      </w:pPr>
      <w:r>
        <w:rPr>
          <w:rFonts w:hint="eastAsia" w:ascii="宋体" w:hAnsi="宋体"/>
          <w:color w:val="auto"/>
          <w:sz w:val="24"/>
          <w:szCs w:val="28"/>
        </w:rPr>
        <w:t>上述标准必须是有关官方机构发布的最新版本的标准；</w:t>
      </w:r>
    </w:p>
    <w:p w14:paraId="237AA1F5">
      <w:pPr>
        <w:numPr>
          <w:ilvl w:val="0"/>
          <w:numId w:val="3"/>
        </w:numPr>
        <w:autoSpaceDE/>
        <w:autoSpaceDN/>
        <w:adjustRightInd w:val="0"/>
        <w:snapToGrid w:val="0"/>
        <w:spacing w:line="360" w:lineRule="auto"/>
        <w:ind w:firstLine="480" w:firstLineChars="200"/>
        <w:rPr>
          <w:rFonts w:ascii="宋体" w:hAnsi="宋体"/>
          <w:color w:val="auto"/>
          <w:sz w:val="24"/>
          <w:szCs w:val="28"/>
        </w:rPr>
      </w:pPr>
      <w:r>
        <w:rPr>
          <w:rFonts w:hint="eastAsia" w:ascii="宋体" w:hAnsi="宋体"/>
          <w:color w:val="auto"/>
          <w:sz w:val="24"/>
          <w:szCs w:val="28"/>
          <w:lang w:eastAsia="zh-CN"/>
        </w:rPr>
        <w:t>中标人</w:t>
      </w:r>
      <w:r>
        <w:rPr>
          <w:rFonts w:hint="eastAsia" w:ascii="宋体" w:hAnsi="宋体"/>
          <w:color w:val="auto"/>
          <w:sz w:val="24"/>
          <w:szCs w:val="28"/>
        </w:rPr>
        <w:t>须为验收提供必需的设备、工具及其他便利条件；</w:t>
      </w:r>
    </w:p>
    <w:p w14:paraId="5F43FA49">
      <w:pPr>
        <w:numPr>
          <w:ilvl w:val="0"/>
          <w:numId w:val="3"/>
        </w:numPr>
        <w:autoSpaceDE/>
        <w:autoSpaceDN/>
        <w:adjustRightInd w:val="0"/>
        <w:snapToGrid w:val="0"/>
        <w:spacing w:line="360" w:lineRule="auto"/>
        <w:ind w:firstLine="464" w:firstLineChars="200"/>
        <w:rPr>
          <w:rFonts w:ascii="宋体" w:hAnsi="宋体"/>
          <w:color w:val="auto"/>
          <w:spacing w:val="-4"/>
          <w:sz w:val="24"/>
          <w:szCs w:val="28"/>
        </w:rPr>
      </w:pPr>
      <w:r>
        <w:rPr>
          <w:rFonts w:hint="eastAsia" w:ascii="宋体" w:hAnsi="宋体"/>
          <w:color w:val="auto"/>
          <w:spacing w:val="-4"/>
          <w:sz w:val="24"/>
          <w:szCs w:val="28"/>
        </w:rPr>
        <w:t>在验收过程中发现数量不足或有质量、技术等问题，</w:t>
      </w:r>
      <w:r>
        <w:rPr>
          <w:rFonts w:hint="eastAsia" w:ascii="宋体" w:hAnsi="宋体"/>
          <w:color w:val="auto"/>
          <w:sz w:val="24"/>
          <w:szCs w:val="28"/>
          <w:lang w:eastAsia="zh-CN"/>
        </w:rPr>
        <w:t>中标人</w:t>
      </w:r>
      <w:r>
        <w:rPr>
          <w:rFonts w:hint="eastAsia" w:ascii="宋体" w:hAnsi="宋体"/>
          <w:color w:val="auto"/>
          <w:spacing w:val="-4"/>
          <w:sz w:val="24"/>
          <w:szCs w:val="28"/>
        </w:rPr>
        <w:t>应负责按照采购人的要求采取补足、更换或退货等措施妥善处理，并承担由此发生的一切费用和损失；</w:t>
      </w:r>
    </w:p>
    <w:p w14:paraId="06813063">
      <w:pPr>
        <w:numPr>
          <w:ilvl w:val="0"/>
          <w:numId w:val="3"/>
        </w:numPr>
        <w:autoSpaceDE/>
        <w:autoSpaceDN/>
        <w:adjustRightInd w:val="0"/>
        <w:snapToGrid w:val="0"/>
        <w:spacing w:line="360" w:lineRule="auto"/>
        <w:ind w:firstLine="480" w:firstLineChars="200"/>
        <w:rPr>
          <w:rFonts w:ascii="宋体" w:hAnsi="宋体"/>
          <w:color w:val="auto"/>
          <w:sz w:val="24"/>
          <w:szCs w:val="28"/>
        </w:rPr>
      </w:pPr>
      <w:r>
        <w:rPr>
          <w:rFonts w:hint="eastAsia" w:ascii="宋体" w:hAnsi="宋体"/>
          <w:color w:val="auto"/>
          <w:sz w:val="24"/>
          <w:szCs w:val="28"/>
        </w:rPr>
        <w:t>对于不合格的货物，</w:t>
      </w:r>
      <w:r>
        <w:rPr>
          <w:rFonts w:hint="eastAsia" w:ascii="宋体" w:hAnsi="宋体"/>
          <w:color w:val="auto"/>
          <w:sz w:val="24"/>
          <w:szCs w:val="28"/>
          <w:lang w:eastAsia="zh-CN"/>
        </w:rPr>
        <w:t>中标人</w:t>
      </w:r>
      <w:r>
        <w:rPr>
          <w:rFonts w:hint="eastAsia" w:ascii="宋体" w:hAnsi="宋体"/>
          <w:color w:val="auto"/>
          <w:sz w:val="24"/>
          <w:szCs w:val="28"/>
        </w:rPr>
        <w:t>必须在7个工作日里及时完成更换并重新对更换货物进行验收。</w:t>
      </w:r>
    </w:p>
    <w:p w14:paraId="2A735087">
      <w:pPr>
        <w:tabs>
          <w:tab w:val="left" w:pos="360"/>
        </w:tabs>
        <w:snapToGrid w:val="0"/>
        <w:spacing w:line="360" w:lineRule="auto"/>
        <w:ind w:right="519" w:rightChars="247" w:firstLine="236" w:firstLineChars="98"/>
        <w:rPr>
          <w:rFonts w:ascii="宋体" w:hAnsi="宋体"/>
          <w:b/>
          <w:color w:val="auto"/>
          <w:sz w:val="24"/>
          <w:szCs w:val="28"/>
        </w:rPr>
      </w:pPr>
      <w:r>
        <w:rPr>
          <w:rFonts w:hint="eastAsia" w:ascii="宋体" w:hAnsi="宋体"/>
          <w:b/>
          <w:color w:val="auto"/>
          <w:sz w:val="24"/>
          <w:szCs w:val="28"/>
          <w:lang w:val="en-US" w:eastAsia="zh-CN"/>
        </w:rPr>
        <w:t>10</w:t>
      </w:r>
      <w:r>
        <w:rPr>
          <w:rFonts w:hint="eastAsia" w:ascii="宋体" w:hAnsi="宋体"/>
          <w:b/>
          <w:color w:val="auto"/>
          <w:sz w:val="24"/>
          <w:szCs w:val="28"/>
        </w:rPr>
        <w:t>培训要求:</w:t>
      </w:r>
    </w:p>
    <w:p w14:paraId="7B6BAB56">
      <w:pPr>
        <w:autoSpaceDE w:val="0"/>
        <w:autoSpaceDN w:val="0"/>
        <w:adjustRightInd w:val="0"/>
        <w:snapToGrid w:val="0"/>
        <w:spacing w:line="360" w:lineRule="auto"/>
        <w:ind w:firstLine="480" w:firstLineChars="200"/>
        <w:rPr>
          <w:rFonts w:ascii="宋体" w:hAnsi="宋体"/>
          <w:color w:val="auto"/>
          <w:sz w:val="24"/>
          <w:szCs w:val="28"/>
        </w:rPr>
      </w:pPr>
      <w:r>
        <w:rPr>
          <w:rFonts w:hint="eastAsia" w:ascii="宋体" w:hAnsi="宋体"/>
          <w:color w:val="auto"/>
          <w:sz w:val="24"/>
          <w:szCs w:val="28"/>
        </w:rPr>
        <w:t>安装调试完毕后，在用户所在地对操作人员进行免费培训，使其能独立进行常规操作。内容应涉及产品的操作使用和保养、产品简易的故障判别及排除维修，免收培训费及资料费。</w:t>
      </w:r>
    </w:p>
    <w:p w14:paraId="4DC9D4CC">
      <w:pPr>
        <w:tabs>
          <w:tab w:val="left" w:pos="360"/>
        </w:tabs>
        <w:snapToGrid w:val="0"/>
        <w:spacing w:line="360" w:lineRule="auto"/>
        <w:ind w:right="519" w:rightChars="247" w:firstLine="236" w:firstLineChars="98"/>
        <w:rPr>
          <w:rFonts w:ascii="宋体" w:hAnsi="宋体"/>
          <w:color w:val="auto"/>
          <w:sz w:val="24"/>
          <w:szCs w:val="28"/>
        </w:rPr>
      </w:pPr>
      <w:r>
        <w:rPr>
          <w:rFonts w:hint="eastAsia" w:ascii="宋体" w:hAnsi="宋体" w:cs="仿宋_GB2312"/>
          <w:b/>
          <w:bCs/>
          <w:color w:val="auto"/>
          <w:sz w:val="24"/>
          <w:szCs w:val="28"/>
          <w:lang w:val="en-US" w:eastAsia="zh-CN"/>
        </w:rPr>
        <w:t>11</w:t>
      </w:r>
      <w:r>
        <w:rPr>
          <w:rFonts w:hint="eastAsia" w:ascii="宋体" w:hAnsi="宋体"/>
          <w:b/>
          <w:color w:val="auto"/>
          <w:sz w:val="24"/>
          <w:szCs w:val="28"/>
        </w:rPr>
        <w:t>其它要求</w:t>
      </w:r>
      <w:r>
        <w:rPr>
          <w:rFonts w:hint="eastAsia" w:ascii="宋体" w:hAnsi="宋体"/>
          <w:color w:val="auto"/>
          <w:sz w:val="24"/>
        </w:rPr>
        <w:t>:</w:t>
      </w:r>
    </w:p>
    <w:p w14:paraId="743321F3">
      <w:pPr>
        <w:numPr>
          <w:ilvl w:val="0"/>
          <w:numId w:val="4"/>
        </w:numPr>
        <w:adjustRightInd w:val="0"/>
        <w:snapToGrid w:val="0"/>
        <w:spacing w:line="360" w:lineRule="auto"/>
        <w:ind w:left="0" w:leftChars="0" w:firstLine="480" w:firstLineChars="200"/>
        <w:rPr>
          <w:rFonts w:ascii="宋体" w:hAnsi="宋体"/>
          <w:color w:val="auto"/>
          <w:sz w:val="24"/>
          <w:szCs w:val="28"/>
        </w:rPr>
      </w:pPr>
      <w:r>
        <w:rPr>
          <w:rFonts w:hint="eastAsia" w:ascii="宋体" w:hAnsi="宋体"/>
          <w:color w:val="auto"/>
          <w:sz w:val="24"/>
          <w:szCs w:val="28"/>
        </w:rPr>
        <w:t>投标人应该认真咨询、实地勘察，了解标的现状，并仔细阅读本次招标所提供的相关资料及特别规定。投标人参加投标，即表明投标人对标的的情况和特别规定的认可，投标成功后不得以未咨询或对标的不了解而提出异议或反悔。</w:t>
      </w:r>
    </w:p>
    <w:p w14:paraId="79E1B2DC">
      <w:pPr>
        <w:numPr>
          <w:ilvl w:val="0"/>
          <w:numId w:val="4"/>
        </w:numPr>
        <w:adjustRightInd w:val="0"/>
        <w:snapToGrid w:val="0"/>
        <w:spacing w:line="360" w:lineRule="auto"/>
        <w:ind w:left="0" w:leftChars="0" w:firstLine="480" w:firstLineChars="200"/>
        <w:rPr>
          <w:rFonts w:ascii="宋体" w:hAnsi="宋体"/>
          <w:color w:val="auto"/>
          <w:sz w:val="24"/>
        </w:rPr>
      </w:pPr>
      <w:r>
        <w:rPr>
          <w:rFonts w:hint="eastAsia" w:ascii="宋体" w:hAnsi="宋体"/>
          <w:color w:val="auto"/>
          <w:sz w:val="24"/>
          <w:szCs w:val="28"/>
          <w:lang w:eastAsia="zh-CN"/>
        </w:rPr>
        <w:t>中</w:t>
      </w:r>
      <w:r>
        <w:rPr>
          <w:rFonts w:hint="eastAsia" w:ascii="宋体" w:hAnsi="宋体"/>
          <w:color w:val="auto"/>
          <w:sz w:val="24"/>
          <w:szCs w:val="28"/>
        </w:rPr>
        <w:t>标人应保证采购人在中华人民共和国使用中标人所提供的货物、工程或服务</w:t>
      </w:r>
      <w:r>
        <w:rPr>
          <w:rFonts w:hint="eastAsia" w:ascii="宋体" w:hAnsi="宋体"/>
          <w:color w:val="auto"/>
          <w:sz w:val="24"/>
        </w:rPr>
        <w:t>的任何一部分时，免受第三方提出的侵犯其专利权、商标权的起诉；如果任何第三方提出侵权指控，中标人承担一切与之有关的责任。</w:t>
      </w:r>
    </w:p>
    <w:p w14:paraId="457C5202">
      <w:pPr>
        <w:numPr>
          <w:ilvl w:val="0"/>
          <w:numId w:val="4"/>
        </w:numPr>
        <w:adjustRightInd w:val="0"/>
        <w:snapToGrid w:val="0"/>
        <w:spacing w:line="360" w:lineRule="auto"/>
        <w:ind w:left="0" w:leftChars="0" w:firstLine="480" w:firstLineChars="200"/>
        <w:rPr>
          <w:rFonts w:hint="eastAsia" w:ascii="宋体" w:hAnsi="宋体"/>
          <w:color w:val="auto"/>
          <w:sz w:val="24"/>
          <w:lang w:val="en-US" w:eastAsia="zh-CN"/>
        </w:rPr>
      </w:pPr>
      <w:r>
        <w:rPr>
          <w:rFonts w:hint="eastAsia" w:ascii="宋体" w:hAnsi="宋体"/>
          <w:color w:val="auto"/>
          <w:sz w:val="24"/>
        </w:rPr>
        <w:t>中标人在履行合同期间，应对中标人（或其雇佣人员）的疏忽、故意或过失而造成采购人的直接或间接损失、第三者的财产损失及安全责任事故等负责，并承担相应费用。</w:t>
      </w:r>
    </w:p>
    <w:p w14:paraId="7576CB17">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jc w:val="both"/>
        <w:textAlignment w:val="auto"/>
        <w:outlineLvl w:val="9"/>
        <w:rPr>
          <w:rFonts w:hint="eastAsia" w:ascii="宋体" w:hAnsi="宋体" w:eastAsia="宋体" w:cs="宋体"/>
          <w:b w:val="0"/>
          <w:bCs w:val="0"/>
          <w:color w:val="auto"/>
          <w:spacing w:val="4"/>
          <w:kern w:val="2"/>
          <w:sz w:val="24"/>
          <w:szCs w:val="24"/>
          <w:highlight w:val="none"/>
          <w:lang w:val="en-US" w:eastAsia="zh-CN" w:bidi="zh-CN"/>
        </w:rPr>
      </w:pPr>
      <w:r>
        <w:rPr>
          <w:rFonts w:hint="eastAsia" w:ascii="宋体" w:hAnsi="宋体" w:cs="宋体"/>
          <w:b/>
          <w:bCs/>
          <w:color w:val="auto"/>
          <w:spacing w:val="4"/>
          <w:kern w:val="2"/>
          <w:sz w:val="24"/>
          <w:szCs w:val="24"/>
          <w:highlight w:val="none"/>
          <w:lang w:val="en-US" w:eastAsia="zh-CN" w:bidi="zh-CN"/>
        </w:rPr>
        <w:t>12</w:t>
      </w:r>
      <w:r>
        <w:rPr>
          <w:rFonts w:hint="eastAsia" w:ascii="宋体" w:hAnsi="宋体" w:eastAsia="宋体" w:cs="宋体"/>
          <w:b/>
          <w:bCs/>
          <w:color w:val="auto"/>
          <w:spacing w:val="4"/>
          <w:kern w:val="2"/>
          <w:sz w:val="24"/>
          <w:szCs w:val="24"/>
          <w:highlight w:val="none"/>
          <w:lang w:val="en-US" w:eastAsia="zh-CN" w:bidi="zh-CN"/>
        </w:rPr>
        <w:t>.</w:t>
      </w:r>
      <w:r>
        <w:rPr>
          <w:rFonts w:hint="eastAsia" w:ascii="宋体" w:hAnsi="宋体" w:eastAsia="宋体" w:cs="宋体"/>
          <w:b w:val="0"/>
          <w:bCs w:val="0"/>
          <w:color w:val="auto"/>
          <w:spacing w:val="4"/>
          <w:kern w:val="2"/>
          <w:sz w:val="24"/>
          <w:szCs w:val="24"/>
          <w:highlight w:val="none"/>
          <w:lang w:val="en-US" w:eastAsia="zh-CN" w:bidi="zh-CN"/>
        </w:rPr>
        <w:t>中标人不得以任何名义和理由进行转包。如有发现，招标人有权单方面终止合同，视为中标人违约，中标人承担招标人由此发生的费用和损失。</w:t>
      </w:r>
    </w:p>
    <w:p w14:paraId="5781E229">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jc w:val="both"/>
        <w:textAlignment w:val="auto"/>
        <w:outlineLvl w:val="9"/>
        <w:rPr>
          <w:rFonts w:hint="eastAsia" w:ascii="宋体" w:hAnsi="宋体" w:eastAsia="宋体" w:cs="宋体"/>
          <w:b w:val="0"/>
          <w:bCs w:val="0"/>
          <w:color w:val="auto"/>
          <w:spacing w:val="4"/>
          <w:kern w:val="2"/>
          <w:sz w:val="24"/>
          <w:szCs w:val="24"/>
          <w:highlight w:val="none"/>
          <w:lang w:val="en-US" w:eastAsia="zh-CN" w:bidi="zh-CN"/>
        </w:rPr>
        <w:sectPr>
          <w:footerReference r:id="rId6" w:type="default"/>
          <w:pgSz w:w="11911" w:h="16849"/>
          <w:pgMar w:top="1440" w:right="1800" w:bottom="1440" w:left="1800" w:header="567" w:footer="720" w:gutter="0"/>
          <w:pgNumType w:fmt="decimal" w:start="1"/>
          <w:cols w:space="720" w:num="1"/>
          <w:docGrid w:linePitch="314" w:charSpace="0"/>
        </w:sectPr>
      </w:pPr>
      <w:r>
        <w:rPr>
          <w:rFonts w:hint="eastAsia" w:ascii="宋体" w:hAnsi="宋体" w:cs="宋体"/>
          <w:b/>
          <w:bCs/>
          <w:color w:val="auto"/>
          <w:spacing w:val="4"/>
          <w:kern w:val="2"/>
          <w:sz w:val="24"/>
          <w:szCs w:val="24"/>
          <w:highlight w:val="none"/>
          <w:lang w:val="en-US" w:eastAsia="zh-CN" w:bidi="zh-CN"/>
        </w:rPr>
        <w:t>13</w:t>
      </w:r>
      <w:r>
        <w:rPr>
          <w:rFonts w:hint="eastAsia" w:ascii="宋体" w:hAnsi="宋体" w:eastAsia="宋体" w:cs="宋体"/>
          <w:b/>
          <w:bCs/>
          <w:color w:val="auto"/>
          <w:spacing w:val="4"/>
          <w:kern w:val="2"/>
          <w:sz w:val="24"/>
          <w:szCs w:val="24"/>
          <w:highlight w:val="none"/>
          <w:lang w:val="en-US" w:eastAsia="zh-CN" w:bidi="zh-CN"/>
        </w:rPr>
        <w:t>.</w:t>
      </w:r>
      <w:r>
        <w:rPr>
          <w:rFonts w:hint="eastAsia" w:ascii="宋体" w:hAnsi="宋体" w:eastAsia="宋体" w:cs="宋体"/>
          <w:b w:val="0"/>
          <w:bCs w:val="0"/>
          <w:color w:val="auto"/>
          <w:spacing w:val="4"/>
          <w:kern w:val="2"/>
          <w:sz w:val="24"/>
          <w:szCs w:val="24"/>
          <w:highlight w:val="none"/>
          <w:lang w:val="en-US" w:eastAsia="zh-CN" w:bidi="zh-CN"/>
        </w:rPr>
        <w:t>其他未尽事宜，在后续协议中补充</w:t>
      </w:r>
      <w:r>
        <w:rPr>
          <w:rFonts w:hint="eastAsia" w:ascii="宋体" w:hAnsi="宋体" w:cs="宋体"/>
          <w:b w:val="0"/>
          <w:bCs w:val="0"/>
          <w:color w:val="auto"/>
          <w:spacing w:val="4"/>
          <w:kern w:val="2"/>
          <w:sz w:val="24"/>
          <w:szCs w:val="24"/>
          <w:highlight w:val="none"/>
          <w:lang w:val="en-US" w:eastAsia="zh-CN" w:bidi="zh-CN"/>
        </w:rPr>
        <w:t>。</w:t>
      </w:r>
    </w:p>
    <w:p w14:paraId="7C0911AC">
      <w:pPr>
        <w:pageBreakBefore w:val="0"/>
        <w:widowControl/>
        <w:numPr>
          <w:ilvl w:val="0"/>
          <w:numId w:val="0"/>
        </w:numPr>
        <w:kinsoku/>
        <w:overflowPunct/>
        <w:topLinePunct w:val="0"/>
        <w:autoSpaceDE/>
        <w:autoSpaceDN/>
        <w:bidi w:val="0"/>
        <w:adjustRightInd/>
        <w:spacing w:line="360" w:lineRule="auto"/>
        <w:jc w:val="center"/>
        <w:textAlignment w:val="auto"/>
        <w:outlineLvl w:val="0"/>
        <w:rPr>
          <w:rFonts w:hint="eastAsia" w:ascii="宋体" w:hAnsi="宋体" w:eastAsia="宋体" w:cs="宋体"/>
          <w:b/>
          <w:i w:val="0"/>
          <w:iCs w:val="0"/>
          <w:color w:val="000000" w:themeColor="text1"/>
          <w:kern w:val="0"/>
          <w:sz w:val="32"/>
          <w:szCs w:val="32"/>
          <w:highlight w:val="none"/>
          <w:lang w:bidi="ar"/>
          <w14:textFill>
            <w14:solidFill>
              <w14:schemeClr w14:val="tx1"/>
            </w14:solidFill>
          </w14:textFill>
        </w:rPr>
      </w:pPr>
      <w:bookmarkStart w:id="18" w:name="_Toc29873"/>
      <w:r>
        <w:rPr>
          <w:rFonts w:hint="eastAsia" w:ascii="宋体" w:hAnsi="宋体" w:eastAsia="宋体" w:cs="宋体"/>
          <w:b/>
          <w:i w:val="0"/>
          <w:iCs w:val="0"/>
          <w:color w:val="000000" w:themeColor="text1"/>
          <w:kern w:val="0"/>
          <w:sz w:val="32"/>
          <w:szCs w:val="32"/>
          <w:highlight w:val="none"/>
          <w:lang w:val="en-US" w:eastAsia="zh-CN" w:bidi="ar"/>
          <w14:textFill>
            <w14:solidFill>
              <w14:schemeClr w14:val="tx1"/>
            </w14:solidFill>
          </w14:textFill>
        </w:rPr>
        <w:t xml:space="preserve">第四章 </w:t>
      </w:r>
      <w:bookmarkEnd w:id="16"/>
      <w:r>
        <w:rPr>
          <w:rFonts w:hint="eastAsia" w:ascii="宋体" w:hAnsi="宋体" w:cs="宋体"/>
          <w:b/>
          <w:i w:val="0"/>
          <w:iCs w:val="0"/>
          <w:color w:val="000000" w:themeColor="text1"/>
          <w:kern w:val="0"/>
          <w:sz w:val="32"/>
          <w:szCs w:val="32"/>
          <w:highlight w:val="none"/>
          <w:lang w:val="en-US" w:eastAsia="zh-CN" w:bidi="ar"/>
          <w14:textFill>
            <w14:solidFill>
              <w14:schemeClr w14:val="tx1"/>
            </w14:solidFill>
          </w14:textFill>
        </w:rPr>
        <w:t>采购合同</w:t>
      </w:r>
      <w:bookmarkEnd w:id="17"/>
      <w:bookmarkEnd w:id="18"/>
    </w:p>
    <w:p w14:paraId="47D8425D">
      <w:pPr>
        <w:pStyle w:val="7"/>
        <w:numPr>
          <w:ilvl w:val="0"/>
          <w:numId w:val="0"/>
        </w:numPr>
        <w:spacing w:line="360" w:lineRule="auto"/>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cs="宋体"/>
          <w:color w:val="000000" w:themeColor="text1"/>
          <w:highlight w:val="none"/>
          <w:lang w:val="en-US" w:eastAsia="zh-CN"/>
          <w14:textFill>
            <w14:solidFill>
              <w14:schemeClr w14:val="tx1"/>
            </w14:solidFill>
          </w14:textFill>
        </w:rPr>
        <w:t>（注：格式自拟）</w:t>
      </w:r>
    </w:p>
    <w:p w14:paraId="3DE121F3">
      <w:pPr>
        <w:pStyle w:val="7"/>
        <w:numPr>
          <w:ilvl w:val="0"/>
          <w:numId w:val="0"/>
        </w:numPr>
        <w:spacing w:line="360" w:lineRule="auto"/>
        <w:rPr>
          <w:rFonts w:hint="eastAsia" w:ascii="宋体" w:hAnsi="宋体" w:eastAsia="宋体" w:cs="宋体"/>
          <w:color w:val="000000" w:themeColor="text1"/>
          <w:highlight w:val="none"/>
          <w14:textFill>
            <w14:solidFill>
              <w14:schemeClr w14:val="tx1"/>
            </w14:solidFill>
          </w14:textFill>
        </w:rPr>
      </w:pPr>
    </w:p>
    <w:p w14:paraId="41E218C5">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4D945AD6">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29022CC2">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4CBCB177">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726441F4">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09AEA605">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0343A44C">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1163F617">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707D7FFB">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2BB0983C">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660ACC82">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4C28338E">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512E5554">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6C04FD09">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33DEACD8">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237F22B2">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556AF608">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7F0B03EA">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47EF42A7">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048091E1">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7291D48A">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43ADCA75">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34D2963B">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28D4E9E2">
      <w:pPr>
        <w:pStyle w:val="7"/>
        <w:rPr>
          <w:rFonts w:hint="eastAsia"/>
          <w:color w:val="000000" w:themeColor="text1"/>
          <w:highlight w:val="none"/>
          <w:lang w:val="en-US" w:eastAsia="zh-CN"/>
          <w14:textFill>
            <w14:solidFill>
              <w14:schemeClr w14:val="tx1"/>
            </w14:solidFill>
          </w14:textFill>
        </w:rPr>
      </w:pPr>
    </w:p>
    <w:p w14:paraId="27B312D6">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outlineLvl w:val="9"/>
        <w:rPr>
          <w:rFonts w:hint="eastAsia" w:ascii="宋体" w:hAnsi="宋体" w:eastAsia="宋体" w:cs="宋体"/>
          <w:i w:val="0"/>
          <w:iCs w:val="0"/>
          <w:color w:val="000000" w:themeColor="text1"/>
          <w:spacing w:val="-6"/>
          <w:kern w:val="0"/>
          <w:sz w:val="24"/>
          <w:szCs w:val="24"/>
          <w:highlight w:val="none"/>
          <w:lang w:val="en-US" w:eastAsia="zh-CN" w:bidi="ar"/>
          <w14:textFill>
            <w14:solidFill>
              <w14:schemeClr w14:val="tx1"/>
            </w14:solidFill>
          </w14:textFill>
        </w:rPr>
      </w:pPr>
    </w:p>
    <w:p w14:paraId="2748FCE3">
      <w:pPr>
        <w:pStyle w:val="48"/>
        <w:pageBreakBefore w:val="0"/>
        <w:kinsoku/>
        <w:overflowPunct/>
        <w:topLinePunct w:val="0"/>
        <w:autoSpaceDE/>
        <w:autoSpaceDN/>
        <w:bidi w:val="0"/>
        <w:adjustRightInd/>
        <w:spacing w:line="360" w:lineRule="auto"/>
        <w:jc w:val="both"/>
        <w:outlineLvl w:val="9"/>
        <w:rPr>
          <w:rFonts w:hint="eastAsia" w:ascii="宋体" w:hAnsi="宋体" w:eastAsia="宋体" w:cs="宋体"/>
          <w:b/>
          <w:i w:val="0"/>
          <w:iCs w:val="0"/>
          <w:color w:val="000000" w:themeColor="text1"/>
          <w:kern w:val="0"/>
          <w:sz w:val="32"/>
          <w:szCs w:val="32"/>
          <w:highlight w:val="none"/>
          <w:lang w:val="en-US" w:eastAsia="zh-CN" w:bidi="ar"/>
          <w14:textFill>
            <w14:solidFill>
              <w14:schemeClr w14:val="tx1"/>
            </w14:solidFill>
          </w14:textFill>
        </w:rPr>
      </w:pPr>
    </w:p>
    <w:p w14:paraId="29EDE8D6">
      <w:pPr>
        <w:pStyle w:val="48"/>
        <w:pageBreakBefore w:val="0"/>
        <w:numPr>
          <w:ilvl w:val="0"/>
          <w:numId w:val="0"/>
        </w:numPr>
        <w:kinsoku/>
        <w:overflowPunct/>
        <w:topLinePunct w:val="0"/>
        <w:autoSpaceDE/>
        <w:autoSpaceDN/>
        <w:bidi w:val="0"/>
        <w:adjustRightInd/>
        <w:spacing w:line="360" w:lineRule="auto"/>
        <w:jc w:val="center"/>
        <w:outlineLvl w:val="0"/>
        <w:rPr>
          <w:rFonts w:hint="eastAsia" w:ascii="宋体" w:hAnsi="宋体" w:eastAsia="宋体" w:cs="宋体"/>
          <w:b/>
          <w:i w:val="0"/>
          <w:iCs w:val="0"/>
          <w:color w:val="000000" w:themeColor="text1"/>
          <w:kern w:val="0"/>
          <w:sz w:val="32"/>
          <w:szCs w:val="32"/>
          <w:highlight w:val="none"/>
          <w:lang w:val="en-US" w:eastAsia="zh-CN" w:bidi="ar"/>
          <w14:textFill>
            <w14:solidFill>
              <w14:schemeClr w14:val="tx1"/>
            </w14:solidFill>
          </w14:textFill>
        </w:rPr>
      </w:pPr>
      <w:bookmarkStart w:id="19" w:name="_Toc24346"/>
    </w:p>
    <w:p w14:paraId="78A57B70">
      <w:pPr>
        <w:pStyle w:val="48"/>
        <w:pageBreakBefore w:val="0"/>
        <w:numPr>
          <w:ilvl w:val="0"/>
          <w:numId w:val="0"/>
        </w:numPr>
        <w:kinsoku/>
        <w:overflowPunct/>
        <w:topLinePunct w:val="0"/>
        <w:autoSpaceDE/>
        <w:autoSpaceDN/>
        <w:bidi w:val="0"/>
        <w:adjustRightInd/>
        <w:spacing w:line="360" w:lineRule="auto"/>
        <w:jc w:val="center"/>
        <w:outlineLvl w:val="0"/>
        <w:rPr>
          <w:rFonts w:hint="eastAsia" w:ascii="宋体" w:hAnsi="宋体" w:eastAsia="宋体" w:cs="宋体"/>
          <w:b/>
          <w:i w:val="0"/>
          <w:iCs w:val="0"/>
          <w:color w:val="000000" w:themeColor="text1"/>
          <w:kern w:val="0"/>
          <w:sz w:val="32"/>
          <w:szCs w:val="32"/>
          <w:highlight w:val="none"/>
          <w:lang w:val="en-US" w:eastAsia="zh-CN" w:bidi="ar"/>
          <w14:textFill>
            <w14:solidFill>
              <w14:schemeClr w14:val="tx1"/>
            </w14:solidFill>
          </w14:textFill>
        </w:rPr>
      </w:pPr>
      <w:bookmarkStart w:id="20" w:name="_Toc27039"/>
      <w:r>
        <w:rPr>
          <w:rFonts w:hint="eastAsia" w:ascii="宋体" w:hAnsi="宋体" w:eastAsia="宋体" w:cs="宋体"/>
          <w:b/>
          <w:i w:val="0"/>
          <w:iCs w:val="0"/>
          <w:color w:val="000000" w:themeColor="text1"/>
          <w:kern w:val="0"/>
          <w:sz w:val="32"/>
          <w:szCs w:val="32"/>
          <w:highlight w:val="none"/>
          <w:lang w:val="en-US" w:eastAsia="zh-CN" w:bidi="ar"/>
          <w14:textFill>
            <w14:solidFill>
              <w14:schemeClr w14:val="tx1"/>
            </w14:solidFill>
          </w14:textFill>
        </w:rPr>
        <w:t>第五章 投标文件</w:t>
      </w:r>
      <w:bookmarkEnd w:id="19"/>
      <w:bookmarkEnd w:id="20"/>
    </w:p>
    <w:p w14:paraId="15627F49">
      <w:pPr>
        <w:pStyle w:val="48"/>
        <w:pageBreakBefore w:val="0"/>
        <w:numPr>
          <w:ilvl w:val="0"/>
          <w:numId w:val="0"/>
        </w:numPr>
        <w:kinsoku/>
        <w:overflowPunct/>
        <w:topLinePunct w:val="0"/>
        <w:autoSpaceDE/>
        <w:autoSpaceDN/>
        <w:bidi w:val="0"/>
        <w:adjustRightInd/>
        <w:spacing w:line="360" w:lineRule="auto"/>
        <w:jc w:val="center"/>
        <w:outlineLvl w:val="9"/>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pPr>
      <w:r>
        <w:rPr>
          <w:color w:val="000000" w:themeColor="text1"/>
          <w:sz w:val="32"/>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4794885</wp:posOffset>
                </wp:positionH>
                <wp:positionV relativeFrom="paragraph">
                  <wp:posOffset>259080</wp:posOffset>
                </wp:positionV>
                <wp:extent cx="1210945" cy="448945"/>
                <wp:effectExtent l="5080" t="4445" r="22225" b="22860"/>
                <wp:wrapNone/>
                <wp:docPr id="1" name="矩形 677"/>
                <wp:cNvGraphicFramePr/>
                <a:graphic xmlns:a="http://schemas.openxmlformats.org/drawingml/2006/main">
                  <a:graphicData uri="http://schemas.microsoft.com/office/word/2010/wordprocessingShape">
                    <wps:wsp>
                      <wps:cNvSpPr/>
                      <wps:spPr>
                        <a:xfrm>
                          <a:off x="0" y="0"/>
                          <a:ext cx="1210945" cy="448945"/>
                        </a:xfrm>
                        <a:prstGeom prst="rect">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677" o:spid="_x0000_s1026" o:spt="1" style="position:absolute;left:0pt;margin-left:377.55pt;margin-top:20.4pt;height:35.35pt;width:95.35pt;z-index:-251657216;mso-width-relative:page;mso-height-relative:page;" fillcolor="#FFFFFF" filled="t" stroked="t" coordsize="21600,21600" o:gfxdata="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C5zgNgAAAAKAQAA&#10;DwAAAAAAAAABACAAAAAiAAAAZHJzL2Rvd25yZXYueG1sUEsBAhQAFAAAAAgAh07iQJUIV3QZAgAA&#10;UwQAAA4AAAAAAAAAAQAgAAAAJwEAAGRycy9lMm9Eb2MueG1sUEsFBgAAAAAGAAYAWQEAALIFAAAA&#10;AA==&#10;">
                <v:fill on="t" focussize="0,0"/>
                <v:stroke color="#000000" joinstyle="miter"/>
                <v:imagedata o:title=""/>
                <o:lock v:ext="edit" aspectratio="f"/>
              </v:rect>
            </w:pict>
          </mc:Fallback>
        </mc:AlternateContent>
      </w:r>
      <w:r>
        <w:rPr>
          <w:rFonts w:hint="eastAsia" w:ascii="宋体" w:hAnsi="宋体" w:eastAsia="宋体" w:cs="宋体"/>
          <w:b w:val="0"/>
          <w:bCs/>
          <w:i w:val="0"/>
          <w:iCs w:val="0"/>
          <w:color w:val="000000" w:themeColor="text1"/>
          <w:kern w:val="0"/>
          <w:sz w:val="24"/>
          <w:szCs w:val="24"/>
          <w:highlight w:val="none"/>
          <w:lang w:val="en-US" w:eastAsia="zh-CN" w:bidi="ar"/>
          <w14:textFill>
            <w14:solidFill>
              <w14:schemeClr w14:val="tx1"/>
            </w14:solidFill>
          </w14:textFill>
        </w:rPr>
        <w:t>（注：格式）</w:t>
      </w:r>
    </w:p>
    <w:p w14:paraId="1522A4E6">
      <w:pPr>
        <w:pStyle w:val="48"/>
        <w:pageBreakBefore w:val="0"/>
        <w:kinsoku/>
        <w:overflowPunct/>
        <w:topLinePunct w:val="0"/>
        <w:autoSpaceDE/>
        <w:autoSpaceDN/>
        <w:bidi w:val="0"/>
        <w:adjustRightInd/>
        <w:spacing w:line="360" w:lineRule="auto"/>
        <w:ind w:firstLine="7680" w:firstLineChars="1600"/>
        <w:jc w:val="both"/>
        <w:outlineLvl w:val="9"/>
        <w:rPr>
          <w:rFonts w:hint="default" w:ascii="宋体" w:hAnsi="宋体" w:eastAsia="宋体" w:cs="宋体"/>
          <w:i w:val="0"/>
          <w:iCs w:val="0"/>
          <w:color w:val="000000" w:themeColor="text1"/>
          <w:sz w:val="48"/>
          <w:szCs w:val="48"/>
          <w:highlight w:val="none"/>
          <w:lang w:val="en-US" w:eastAsia="zh-CN"/>
          <w14:textFill>
            <w14:solidFill>
              <w14:schemeClr w14:val="tx1"/>
            </w14:solidFill>
          </w14:textFill>
        </w:rPr>
      </w:pPr>
      <w:r>
        <w:rPr>
          <w:rFonts w:hint="eastAsia" w:ascii="宋体" w:hAnsi="宋体" w:cs="宋体"/>
          <w:i w:val="0"/>
          <w:iCs w:val="0"/>
          <w:color w:val="000000" w:themeColor="text1"/>
          <w:sz w:val="48"/>
          <w:szCs w:val="48"/>
          <w:highlight w:val="none"/>
          <w:lang w:eastAsia="zh-CN"/>
          <w14:textFill>
            <w14:solidFill>
              <w14:schemeClr w14:val="tx1"/>
            </w14:solidFill>
          </w14:textFill>
        </w:rPr>
        <w:t>正</w:t>
      </w:r>
      <w:r>
        <w:rPr>
          <w:rFonts w:hint="eastAsia" w:ascii="宋体" w:hAnsi="宋体" w:cs="宋体"/>
          <w:i w:val="0"/>
          <w:iCs w:val="0"/>
          <w:color w:val="000000" w:themeColor="text1"/>
          <w:sz w:val="48"/>
          <w:szCs w:val="48"/>
          <w:highlight w:val="none"/>
          <w:lang w:val="en-US" w:eastAsia="zh-CN"/>
          <w14:textFill>
            <w14:solidFill>
              <w14:schemeClr w14:val="tx1"/>
            </w14:solidFill>
          </w14:textFill>
        </w:rPr>
        <w:t>/副本</w:t>
      </w:r>
    </w:p>
    <w:p w14:paraId="06E3A29C">
      <w:pPr>
        <w:pStyle w:val="48"/>
        <w:pageBreakBefore w:val="0"/>
        <w:kinsoku/>
        <w:overflowPunct/>
        <w:topLinePunct w:val="0"/>
        <w:autoSpaceDE/>
        <w:autoSpaceDN/>
        <w:bidi w:val="0"/>
        <w:adjustRightInd/>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59B9E87E">
      <w:pPr>
        <w:pStyle w:val="48"/>
        <w:pageBreakBefore w:val="0"/>
        <w:kinsoku/>
        <w:overflowPunct/>
        <w:topLinePunct w:val="0"/>
        <w:autoSpaceDE/>
        <w:autoSpaceDN/>
        <w:bidi w:val="0"/>
        <w:adjustRightInd/>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19C5C1CC">
      <w:pPr>
        <w:pStyle w:val="48"/>
        <w:pageBreakBefore w:val="0"/>
        <w:kinsoku/>
        <w:overflowPunct/>
        <w:topLinePunct w:val="0"/>
        <w:autoSpaceDE/>
        <w:autoSpaceDN/>
        <w:bidi w:val="0"/>
        <w:adjustRightInd/>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419BD1D0">
      <w:pPr>
        <w:spacing w:line="360" w:lineRule="auto"/>
        <w:outlineLvl w:val="9"/>
        <w:rPr>
          <w:rFonts w:hint="eastAsia" w:ascii="宋体" w:hAnsi="宋体" w:eastAsia="宋体" w:cs="宋体"/>
          <w:i w:val="0"/>
          <w:iCs w:val="0"/>
          <w:color w:val="000000" w:themeColor="text1"/>
          <w:highlight w:val="none"/>
          <w14:textFill>
            <w14:solidFill>
              <w14:schemeClr w14:val="tx1"/>
            </w14:solidFill>
          </w14:textFill>
        </w:rPr>
      </w:pPr>
    </w:p>
    <w:p w14:paraId="1660E952">
      <w:pPr>
        <w:pStyle w:val="7"/>
        <w:rPr>
          <w:rFonts w:hint="eastAsia" w:ascii="宋体" w:hAnsi="宋体" w:eastAsia="宋体" w:cs="宋体"/>
          <w:i w:val="0"/>
          <w:iCs w:val="0"/>
          <w:color w:val="000000" w:themeColor="text1"/>
          <w:highlight w:val="none"/>
          <w14:textFill>
            <w14:solidFill>
              <w14:schemeClr w14:val="tx1"/>
            </w14:solidFill>
          </w14:textFill>
        </w:rPr>
      </w:pPr>
    </w:p>
    <w:p w14:paraId="49236F7B">
      <w:pPr>
        <w:adjustRightInd w:val="0"/>
        <w:snapToGrid w:val="0"/>
        <w:spacing w:line="360" w:lineRule="auto"/>
        <w:jc w:val="center"/>
        <w:rPr>
          <w:rFonts w:hint="eastAsia" w:ascii="Arial Unicode MS" w:hAnsi="Arial Unicode MS" w:eastAsia="Arial Unicode MS" w:cs="Arial Unicode MS"/>
          <w:b w:val="0"/>
          <w:bCs w:val="0"/>
          <w:color w:val="000000" w:themeColor="text1"/>
          <w:sz w:val="110"/>
          <w:szCs w:val="110"/>
          <w:highlight w:val="none"/>
          <w14:textFill>
            <w14:solidFill>
              <w14:schemeClr w14:val="tx1"/>
            </w14:solidFill>
          </w14:textFill>
        </w:rPr>
      </w:pPr>
      <w:r>
        <w:rPr>
          <w:rFonts w:hint="eastAsia" w:ascii="Arial Unicode MS" w:hAnsi="Arial Unicode MS" w:eastAsia="Arial Unicode MS" w:cs="Arial Unicode MS"/>
          <w:b w:val="0"/>
          <w:bCs w:val="0"/>
          <w:color w:val="000000" w:themeColor="text1"/>
          <w:sz w:val="110"/>
          <w:szCs w:val="110"/>
          <w:highlight w:val="none"/>
          <w14:textFill>
            <w14:solidFill>
              <w14:schemeClr w14:val="tx1"/>
            </w14:solidFill>
          </w14:textFill>
        </w:rPr>
        <w:t>投 标 文 件</w:t>
      </w:r>
    </w:p>
    <w:p w14:paraId="54E3BA93">
      <w:pPr>
        <w:pStyle w:val="7"/>
        <w:rPr>
          <w:color w:val="000000" w:themeColor="text1"/>
          <w:highlight w:val="none"/>
          <w14:textFill>
            <w14:solidFill>
              <w14:schemeClr w14:val="tx1"/>
            </w14:solidFill>
          </w14:textFill>
        </w:rPr>
      </w:pPr>
    </w:p>
    <w:p w14:paraId="1CB560A2">
      <w:pPr>
        <w:pStyle w:val="7"/>
        <w:rPr>
          <w:rFonts w:hint="eastAsia" w:ascii="宋体" w:hAnsi="宋体" w:eastAsia="宋体" w:cs="宋体"/>
          <w:i w:val="0"/>
          <w:iCs w:val="0"/>
          <w:color w:val="000000" w:themeColor="text1"/>
          <w:highlight w:val="none"/>
          <w14:textFill>
            <w14:solidFill>
              <w14:schemeClr w14:val="tx1"/>
            </w14:solidFill>
          </w14:textFill>
        </w:rPr>
      </w:pPr>
    </w:p>
    <w:p w14:paraId="1F10C7B2">
      <w:pPr>
        <w:adjustRightInd w:val="0"/>
        <w:snapToGrid w:val="0"/>
        <w:spacing w:line="360" w:lineRule="auto"/>
        <w:ind w:firstLine="1606" w:firstLineChars="500"/>
        <w:rPr>
          <w:rFonts w:hint="eastAsia" w:hAnsi="宋体"/>
          <w:b/>
          <w:color w:val="000000" w:themeColor="text1"/>
          <w:sz w:val="32"/>
          <w:szCs w:val="32"/>
          <w:highlight w:val="none"/>
          <w:u w:val="single"/>
          <w:lang w:eastAsia="zh-CN"/>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项目名称：</w:t>
      </w:r>
      <w:r>
        <w:rPr>
          <w:rFonts w:hint="eastAsia" w:hAnsi="宋体"/>
          <w:b/>
          <w:i/>
          <w:iCs/>
          <w:color w:val="000000" w:themeColor="text1"/>
          <w:sz w:val="32"/>
          <w:szCs w:val="32"/>
          <w:highlight w:val="none"/>
          <w:u w:val="single"/>
          <w:lang w:val="en-US" w:eastAsia="zh-CN"/>
          <w14:textFill>
            <w14:solidFill>
              <w14:schemeClr w14:val="tx1"/>
            </w14:solidFill>
          </w14:textFill>
        </w:rPr>
        <w:t xml:space="preserve">                              </w:t>
      </w:r>
    </w:p>
    <w:p w14:paraId="402FFEB1">
      <w:pPr>
        <w:adjustRightInd w:val="0"/>
        <w:snapToGrid w:val="0"/>
        <w:spacing w:line="360" w:lineRule="auto"/>
        <w:ind w:firstLine="1606" w:firstLineChars="500"/>
        <w:rPr>
          <w:rFonts w:hint="eastAsia" w:hAnsi="宋体"/>
          <w:b/>
          <w:color w:val="000000" w:themeColor="text1"/>
          <w:sz w:val="32"/>
          <w:szCs w:val="32"/>
          <w:highlight w:val="none"/>
          <w14:textFill>
            <w14:solidFill>
              <w14:schemeClr w14:val="tx1"/>
            </w14:solidFill>
          </w14:textFill>
        </w:rPr>
      </w:pPr>
      <w:r>
        <w:rPr>
          <w:rFonts w:hAnsi="宋体"/>
          <w:b/>
          <w:color w:val="000000" w:themeColor="text1"/>
          <w:sz w:val="32"/>
          <w:szCs w:val="32"/>
          <w:highlight w:val="none"/>
          <w14:textFill>
            <w14:solidFill>
              <w14:schemeClr w14:val="tx1"/>
            </w14:solidFill>
          </w14:textFill>
        </w:rPr>
        <w:t>项目</w:t>
      </w:r>
      <w:r>
        <w:rPr>
          <w:rFonts w:hint="eastAsia" w:hAnsi="宋体"/>
          <w:b/>
          <w:color w:val="000000" w:themeColor="text1"/>
          <w:sz w:val="32"/>
          <w:szCs w:val="32"/>
          <w:highlight w:val="none"/>
          <w14:textFill>
            <w14:solidFill>
              <w14:schemeClr w14:val="tx1"/>
            </w14:solidFill>
          </w14:textFill>
        </w:rPr>
        <w:t>编号：</w:t>
      </w:r>
      <w:r>
        <w:rPr>
          <w:rFonts w:hint="eastAsia" w:hAnsi="宋体"/>
          <w:b/>
          <w:i/>
          <w:iCs/>
          <w:color w:val="000000" w:themeColor="text1"/>
          <w:sz w:val="32"/>
          <w:szCs w:val="32"/>
          <w:highlight w:val="none"/>
          <w:u w:val="single"/>
          <w:lang w:val="en-US" w:eastAsia="zh-CN"/>
          <w14:textFill>
            <w14:solidFill>
              <w14:schemeClr w14:val="tx1"/>
            </w14:solidFill>
          </w14:textFill>
        </w:rPr>
        <w:t xml:space="preserve">                              </w:t>
      </w:r>
    </w:p>
    <w:p w14:paraId="4EF7E89F">
      <w:pPr>
        <w:adjustRightInd w:val="0"/>
        <w:snapToGrid w:val="0"/>
        <w:spacing w:line="360" w:lineRule="auto"/>
        <w:ind w:firstLine="1606" w:firstLineChars="500"/>
        <w:rPr>
          <w:rFonts w:hint="eastAsia" w:hAnsi="宋体" w:eastAsia="宋体"/>
          <w:b/>
          <w:color w:val="000000" w:themeColor="text1"/>
          <w:sz w:val="32"/>
          <w:szCs w:val="32"/>
          <w:highlight w:val="none"/>
          <w:u w:val="single"/>
          <w:lang w:eastAsia="zh-CN"/>
          <w14:textFill>
            <w14:solidFill>
              <w14:schemeClr w14:val="tx1"/>
            </w14:solidFill>
          </w14:textFill>
        </w:rPr>
      </w:pPr>
      <w:r>
        <w:rPr>
          <w:rFonts w:hint="eastAsia" w:hAnsi="宋体"/>
          <w:b/>
          <w:color w:val="000000" w:themeColor="text1"/>
          <w:sz w:val="32"/>
          <w:szCs w:val="32"/>
          <w:highlight w:val="none"/>
          <w:lang w:val="en-US" w:eastAsia="zh-CN"/>
          <w14:textFill>
            <w14:solidFill>
              <w14:schemeClr w14:val="tx1"/>
            </w14:solidFill>
          </w14:textFill>
        </w:rPr>
        <w:t>招 标 人</w:t>
      </w:r>
      <w:r>
        <w:rPr>
          <w:rFonts w:hint="eastAsia" w:hAnsi="宋体"/>
          <w:b/>
          <w:color w:val="000000" w:themeColor="text1"/>
          <w:sz w:val="32"/>
          <w:szCs w:val="32"/>
          <w:highlight w:val="none"/>
          <w14:textFill>
            <w14:solidFill>
              <w14:schemeClr w14:val="tx1"/>
            </w14:solidFill>
          </w14:textFill>
        </w:rPr>
        <w:t>：</w:t>
      </w:r>
      <w:r>
        <w:rPr>
          <w:rFonts w:hint="eastAsia" w:hAnsi="宋体"/>
          <w:b/>
          <w:i/>
          <w:iCs/>
          <w:color w:val="000000" w:themeColor="text1"/>
          <w:sz w:val="32"/>
          <w:szCs w:val="32"/>
          <w:highlight w:val="none"/>
          <w:u w:val="single"/>
          <w:lang w:val="en-US" w:eastAsia="zh-CN"/>
          <w14:textFill>
            <w14:solidFill>
              <w14:schemeClr w14:val="tx1"/>
            </w14:solidFill>
          </w14:textFill>
        </w:rPr>
        <w:t xml:space="preserve">                              </w:t>
      </w:r>
    </w:p>
    <w:p w14:paraId="3FA4192C">
      <w:pPr>
        <w:adjustRightInd w:val="0"/>
        <w:snapToGrid w:val="0"/>
        <w:spacing w:line="360" w:lineRule="auto"/>
        <w:ind w:firstLine="1606" w:firstLineChars="500"/>
        <w:rPr>
          <w:rFonts w:hint="default" w:ascii="黑体" w:hAnsi="宋体" w:eastAsia="宋体"/>
          <w:b/>
          <w:color w:val="000000" w:themeColor="text1"/>
          <w:sz w:val="36"/>
          <w:szCs w:val="22"/>
          <w:highlight w:val="none"/>
          <w:u w:val="single"/>
          <w:lang w:val="en-US" w:eastAsia="zh-CN"/>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代理机构：</w:t>
      </w:r>
      <w:r>
        <w:rPr>
          <w:rFonts w:hint="eastAsia" w:hAnsi="宋体"/>
          <w:b/>
          <w:i/>
          <w:iCs/>
          <w:color w:val="000000" w:themeColor="text1"/>
          <w:sz w:val="32"/>
          <w:szCs w:val="32"/>
          <w:highlight w:val="none"/>
          <w:u w:val="single"/>
          <w:lang w:val="en-US" w:eastAsia="zh-CN"/>
          <w14:textFill>
            <w14:solidFill>
              <w14:schemeClr w14:val="tx1"/>
            </w14:solidFill>
          </w14:textFill>
        </w:rPr>
        <w:t xml:space="preserve">                              </w:t>
      </w:r>
    </w:p>
    <w:p w14:paraId="68747440">
      <w:pPr>
        <w:pStyle w:val="7"/>
        <w:rPr>
          <w:rFonts w:hint="eastAsia" w:ascii="宋体" w:hAnsi="宋体" w:eastAsia="宋体" w:cs="宋体"/>
          <w:i w:val="0"/>
          <w:iCs w:val="0"/>
          <w:color w:val="000000" w:themeColor="text1"/>
          <w:highlight w:val="none"/>
          <w14:textFill>
            <w14:solidFill>
              <w14:schemeClr w14:val="tx1"/>
            </w14:solidFill>
          </w14:textFill>
        </w:rPr>
      </w:pPr>
    </w:p>
    <w:p w14:paraId="7EB9E0BF">
      <w:pPr>
        <w:rPr>
          <w:rFonts w:hint="eastAsia" w:ascii="宋体" w:hAnsi="宋体" w:eastAsia="宋体" w:cs="宋体"/>
          <w:i w:val="0"/>
          <w:iCs w:val="0"/>
          <w:color w:val="000000" w:themeColor="text1"/>
          <w:highlight w:val="none"/>
          <w14:textFill>
            <w14:solidFill>
              <w14:schemeClr w14:val="tx1"/>
            </w14:solidFill>
          </w14:textFill>
        </w:rPr>
      </w:pPr>
    </w:p>
    <w:p w14:paraId="04F417CC">
      <w:pPr>
        <w:pStyle w:val="7"/>
        <w:rPr>
          <w:rFonts w:hint="eastAsia" w:ascii="宋体" w:hAnsi="宋体" w:eastAsia="宋体" w:cs="宋体"/>
          <w:i w:val="0"/>
          <w:iCs w:val="0"/>
          <w:color w:val="000000" w:themeColor="text1"/>
          <w:highlight w:val="none"/>
          <w14:textFill>
            <w14:solidFill>
              <w14:schemeClr w14:val="tx1"/>
            </w14:solidFill>
          </w14:textFill>
        </w:rPr>
      </w:pPr>
    </w:p>
    <w:p w14:paraId="1D3E4BC0">
      <w:pPr>
        <w:rPr>
          <w:rFonts w:hint="eastAsia" w:ascii="宋体" w:hAnsi="宋体" w:eastAsia="宋体" w:cs="宋体"/>
          <w:i w:val="0"/>
          <w:iCs w:val="0"/>
          <w:color w:val="000000" w:themeColor="text1"/>
          <w:highlight w:val="none"/>
          <w14:textFill>
            <w14:solidFill>
              <w14:schemeClr w14:val="tx1"/>
            </w14:solidFill>
          </w14:textFill>
        </w:rPr>
      </w:pPr>
    </w:p>
    <w:p w14:paraId="504EBAAB">
      <w:pPr>
        <w:pStyle w:val="7"/>
        <w:rPr>
          <w:rFonts w:hint="eastAsia" w:ascii="宋体" w:hAnsi="宋体" w:eastAsia="宋体" w:cs="宋体"/>
          <w:i w:val="0"/>
          <w:iCs w:val="0"/>
          <w:color w:val="000000" w:themeColor="text1"/>
          <w:highlight w:val="none"/>
          <w14:textFill>
            <w14:solidFill>
              <w14:schemeClr w14:val="tx1"/>
            </w14:solidFill>
          </w14:textFill>
        </w:rPr>
      </w:pPr>
    </w:p>
    <w:p w14:paraId="4234B30D">
      <w:pPr>
        <w:rPr>
          <w:rFonts w:hint="eastAsia" w:ascii="宋体" w:hAnsi="宋体" w:eastAsia="宋体" w:cs="宋体"/>
          <w:i w:val="0"/>
          <w:iCs w:val="0"/>
          <w:color w:val="000000" w:themeColor="text1"/>
          <w:highlight w:val="none"/>
          <w14:textFill>
            <w14:solidFill>
              <w14:schemeClr w14:val="tx1"/>
            </w14:solidFill>
          </w14:textFill>
        </w:rPr>
      </w:pPr>
    </w:p>
    <w:p w14:paraId="135A407A">
      <w:pPr>
        <w:pStyle w:val="7"/>
        <w:rPr>
          <w:rFonts w:hint="eastAsia"/>
          <w:color w:val="000000" w:themeColor="text1"/>
          <w:highlight w:val="none"/>
          <w14:textFill>
            <w14:solidFill>
              <w14:schemeClr w14:val="tx1"/>
            </w14:solidFill>
          </w14:textFill>
        </w:rPr>
      </w:pPr>
    </w:p>
    <w:p w14:paraId="45749008">
      <w:pPr>
        <w:adjustRightInd w:val="0"/>
        <w:snapToGrid w:val="0"/>
        <w:spacing w:line="360" w:lineRule="auto"/>
        <w:ind w:firstLine="1606" w:firstLineChars="500"/>
        <w:rPr>
          <w:rFonts w:hint="eastAsia" w:hAnsi="宋体"/>
          <w:b/>
          <w:color w:val="000000" w:themeColor="text1"/>
          <w:sz w:val="32"/>
          <w:szCs w:val="32"/>
          <w:highlight w:val="none"/>
          <w:lang w:val="en-US" w:eastAsia="zh-CN"/>
          <w14:textFill>
            <w14:solidFill>
              <w14:schemeClr w14:val="tx1"/>
            </w14:solidFill>
          </w14:textFill>
        </w:rPr>
      </w:pPr>
      <w:r>
        <w:rPr>
          <w:rFonts w:hint="eastAsia" w:hAnsi="宋体"/>
          <w:b/>
          <w:color w:val="000000" w:themeColor="text1"/>
          <w:sz w:val="32"/>
          <w:szCs w:val="32"/>
          <w:highlight w:val="none"/>
          <w:lang w:val="en-US" w:eastAsia="zh-CN"/>
          <w14:textFill>
            <w14:solidFill>
              <w14:schemeClr w14:val="tx1"/>
            </w14:solidFill>
          </w14:textFill>
        </w:rPr>
        <w:t>投 标 人</w:t>
      </w:r>
      <w:r>
        <w:rPr>
          <w:rFonts w:hint="eastAsia" w:hAnsi="宋体"/>
          <w:b/>
          <w:color w:val="000000" w:themeColor="text1"/>
          <w:sz w:val="32"/>
          <w:szCs w:val="32"/>
          <w:highlight w:val="none"/>
          <w14:textFill>
            <w14:solidFill>
              <w14:schemeClr w14:val="tx1"/>
            </w14:solidFill>
          </w14:textFill>
        </w:rPr>
        <w:t>：</w:t>
      </w:r>
      <w:r>
        <w:rPr>
          <w:rFonts w:hint="eastAsia" w:hAnsi="宋体"/>
          <w:b/>
          <w:i/>
          <w:iCs/>
          <w:color w:val="000000" w:themeColor="text1"/>
          <w:sz w:val="32"/>
          <w:szCs w:val="32"/>
          <w:highlight w:val="none"/>
          <w:u w:val="single"/>
          <w:lang w:val="en-US" w:eastAsia="zh-CN"/>
          <w14:textFill>
            <w14:solidFill>
              <w14:schemeClr w14:val="tx1"/>
            </w14:solidFill>
          </w14:textFill>
        </w:rPr>
        <w:t xml:space="preserve">                              </w:t>
      </w:r>
    </w:p>
    <w:p w14:paraId="243D5420">
      <w:pPr>
        <w:adjustRightInd w:val="0"/>
        <w:snapToGrid w:val="0"/>
        <w:spacing w:line="360" w:lineRule="auto"/>
        <w:ind w:firstLine="1606" w:firstLineChars="500"/>
        <w:rPr>
          <w:rFonts w:hint="eastAsia" w:ascii="宋体" w:hAnsi="宋体" w:eastAsia="宋体" w:cs="宋体"/>
          <w:b/>
          <w:bCs w:val="0"/>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lang w:val="en-US" w:eastAsia="zh-CN"/>
          <w14:textFill>
            <w14:solidFill>
              <w14:schemeClr w14:val="tx1"/>
            </w14:solidFill>
          </w14:textFill>
        </w:rPr>
        <w:t>日    期</w:t>
      </w:r>
      <w:r>
        <w:rPr>
          <w:rFonts w:hint="eastAsia" w:hAnsi="宋体"/>
          <w:b/>
          <w:color w:val="000000" w:themeColor="text1"/>
          <w:sz w:val="32"/>
          <w:szCs w:val="32"/>
          <w:highlight w:val="none"/>
          <w14:textFill>
            <w14:solidFill>
              <w14:schemeClr w14:val="tx1"/>
            </w14:solidFill>
          </w14:textFill>
        </w:rPr>
        <w:t>：</w:t>
      </w:r>
      <w:r>
        <w:rPr>
          <w:rFonts w:hint="eastAsia" w:hAnsi="宋体"/>
          <w:b/>
          <w:i/>
          <w:iCs/>
          <w:color w:val="000000" w:themeColor="text1"/>
          <w:sz w:val="32"/>
          <w:szCs w:val="32"/>
          <w:highlight w:val="none"/>
          <w:u w:val="single"/>
          <w:lang w:val="en-US" w:eastAsia="zh-CN"/>
          <w14:textFill>
            <w14:solidFill>
              <w14:schemeClr w14:val="tx1"/>
            </w14:solidFill>
          </w14:textFill>
        </w:rPr>
        <w:t xml:space="preserve">                              </w:t>
      </w:r>
    </w:p>
    <w:p w14:paraId="677B8E74">
      <w:pPr>
        <w:pStyle w:val="7"/>
        <w:spacing w:line="360" w:lineRule="auto"/>
        <w:jc w:val="center"/>
        <w:rPr>
          <w:rFonts w:hint="eastAsia" w:cs="宋体"/>
          <w:b/>
          <w:bCs/>
          <w:i w:val="0"/>
          <w:iCs w:val="0"/>
          <w:color w:val="000000" w:themeColor="text1"/>
          <w:kern w:val="0"/>
          <w:sz w:val="32"/>
          <w:szCs w:val="32"/>
          <w:highlight w:val="none"/>
          <w:lang w:val="en-US" w:eastAsia="zh-CN" w:bidi="ar"/>
          <w14:textFill>
            <w14:solidFill>
              <w14:schemeClr w14:val="tx1"/>
            </w14:solidFill>
          </w14:textFill>
        </w:rPr>
      </w:pPr>
    </w:p>
    <w:p w14:paraId="62F929FD">
      <w:pPr>
        <w:pStyle w:val="7"/>
        <w:spacing w:line="360" w:lineRule="auto"/>
        <w:jc w:val="center"/>
        <w:rPr>
          <w:rFonts w:hint="eastAsia" w:ascii="宋体" w:hAnsi="宋体" w:eastAsia="宋体" w:cs="宋体"/>
          <w:b/>
          <w:bCs/>
          <w:i w:val="0"/>
          <w:iCs w:val="0"/>
          <w:color w:val="000000" w:themeColor="text1"/>
          <w:kern w:val="0"/>
          <w:sz w:val="32"/>
          <w:szCs w:val="32"/>
          <w:highlight w:val="none"/>
          <w:lang w:bidi="ar"/>
          <w14:textFill>
            <w14:solidFill>
              <w14:schemeClr w14:val="tx1"/>
            </w14:solidFill>
          </w14:textFill>
        </w:rPr>
      </w:pPr>
      <w:r>
        <w:rPr>
          <w:rFonts w:hint="eastAsia" w:cs="宋体"/>
          <w:b/>
          <w:bCs/>
          <w:i w:val="0"/>
          <w:iCs w:val="0"/>
          <w:color w:val="000000" w:themeColor="text1"/>
          <w:kern w:val="0"/>
          <w:sz w:val="32"/>
          <w:szCs w:val="32"/>
          <w:highlight w:val="none"/>
          <w:lang w:val="en-US" w:eastAsia="zh-CN" w:bidi="ar"/>
          <w14:textFill>
            <w14:solidFill>
              <w14:schemeClr w14:val="tx1"/>
            </w14:solidFill>
          </w14:textFill>
        </w:rPr>
        <w:t>一</w:t>
      </w:r>
      <w:r>
        <w:rPr>
          <w:rFonts w:hint="eastAsia" w:ascii="宋体" w:hAnsi="宋体" w:eastAsia="宋体" w:cs="宋体"/>
          <w:b/>
          <w:bCs/>
          <w:i w:val="0"/>
          <w:iCs w:val="0"/>
          <w:color w:val="000000" w:themeColor="text1"/>
          <w:kern w:val="0"/>
          <w:sz w:val="32"/>
          <w:szCs w:val="32"/>
          <w:highlight w:val="none"/>
          <w:lang w:bidi="ar"/>
          <w14:textFill>
            <w14:solidFill>
              <w14:schemeClr w14:val="tx1"/>
            </w14:solidFill>
          </w14:textFill>
        </w:rPr>
        <w:t>、投标函</w:t>
      </w: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47B20A77">
      <w:pPr>
        <w:pStyle w:val="7"/>
        <w:spacing w:line="360" w:lineRule="auto"/>
        <w:rPr>
          <w:rFonts w:hint="eastAsia" w:ascii="宋体" w:hAnsi="宋体" w:eastAsia="宋体" w:cs="宋体"/>
          <w:i w:val="0"/>
          <w:iCs w:val="0"/>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上饶市城投工程管理咨询有限公司</w:t>
      </w:r>
      <w:r>
        <w:rPr>
          <w:rFonts w:hint="eastAsia" w:cs="宋体"/>
          <w:i w:val="0"/>
          <w:iCs w:val="0"/>
          <w:color w:val="000000" w:themeColor="text1"/>
          <w:kern w:val="0"/>
          <w:sz w:val="24"/>
          <w:szCs w:val="24"/>
          <w:highlight w:val="none"/>
          <w:lang w:eastAsia="zh-CN" w:bidi="ar"/>
          <w14:textFill>
            <w14:solidFill>
              <w14:schemeClr w14:val="tx1"/>
            </w14:solidFill>
          </w14:textFill>
        </w:rPr>
        <w:t>：</w:t>
      </w:r>
    </w:p>
    <w:p w14:paraId="56AC4BA6">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根据贵方为</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（项目名称）</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项目的投标邀请（项目编号）</w:t>
      </w:r>
      <w:r>
        <w:rPr>
          <w:rFonts w:hint="eastAsia" w:cs="宋体"/>
          <w:i w:val="0"/>
          <w:iCs w:val="0"/>
          <w:color w:val="000000" w:themeColor="text1"/>
          <w:kern w:val="0"/>
          <w:sz w:val="24"/>
          <w:szCs w:val="24"/>
          <w:highlight w:val="none"/>
          <w:lang w:eastAsia="zh-CN" w:bidi="ar"/>
          <w14:textFill>
            <w14:solidFill>
              <w14:schemeClr w14:val="tx1"/>
            </w14:solidFill>
          </w14:textFill>
        </w:rPr>
        <w:t>：</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cs="宋体"/>
          <w:i w:val="0"/>
          <w:iCs w:val="0"/>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，签字代表</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（姓名、职务）</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经正式授权并代表</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w:t>
      </w:r>
      <w:r>
        <w:rPr>
          <w:rFonts w:hint="eastAsia" w:cs="宋体"/>
          <w:i w:val="0"/>
          <w:iCs w:val="0"/>
          <w:color w:val="000000" w:themeColor="text1"/>
          <w:kern w:val="0"/>
          <w:sz w:val="24"/>
          <w:szCs w:val="24"/>
          <w:highlight w:val="none"/>
          <w:u w:val="singl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名称、地址）</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提交下述投标文件：正本一份，副本</w:t>
      </w:r>
      <w:r>
        <w:rPr>
          <w:rFonts w:hint="eastAsia" w:cs="宋体"/>
          <w:i w:val="0"/>
          <w:iCs w:val="0"/>
          <w:color w:val="000000" w:themeColor="text1"/>
          <w:kern w:val="0"/>
          <w:sz w:val="24"/>
          <w:szCs w:val="24"/>
          <w:highlight w:val="none"/>
          <w:lang w:eastAsia="zh-CN" w:bidi="ar"/>
          <w14:textFill>
            <w14:solidFill>
              <w14:schemeClr w14:val="tx1"/>
            </w14:solidFill>
          </w14:textFill>
        </w:rPr>
        <w:t>三</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份，并在此声明，所递交的投标文件内容完整、真实。</w:t>
      </w:r>
    </w:p>
    <w:p w14:paraId="32E39DEB">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在此，签字代表宣布同意如下：</w:t>
      </w:r>
    </w:p>
    <w:p w14:paraId="0BA15560">
      <w:pPr>
        <w:pStyle w:val="7"/>
        <w:numPr>
          <w:ilvl w:val="0"/>
          <w:numId w:val="0"/>
        </w:numPr>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1、我方</w:t>
      </w:r>
      <w:r>
        <w:rPr>
          <w:rFonts w:hint="eastAsia" w:cs="宋体"/>
          <w:i w:val="0"/>
          <w:iCs w:val="0"/>
          <w:color w:val="000000" w:themeColor="text1"/>
          <w:kern w:val="0"/>
          <w:sz w:val="24"/>
          <w:szCs w:val="24"/>
          <w:highlight w:val="none"/>
          <w:lang w:eastAsia="zh-CN" w:bidi="ar"/>
          <w14:textFill>
            <w14:solidFill>
              <w14:schemeClr w14:val="tx1"/>
            </w14:solidFill>
          </w14:textFill>
        </w:rPr>
        <w:t>已</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全面阅读和研究了招标文件，澄清疑问，充分理解并掌握本</w:t>
      </w:r>
      <w:r>
        <w:rPr>
          <w:rFonts w:hint="eastAsia" w:cs="宋体"/>
          <w:i w:val="0"/>
          <w:iCs w:val="0"/>
          <w:color w:val="000000" w:themeColor="text1"/>
          <w:kern w:val="0"/>
          <w:sz w:val="24"/>
          <w:szCs w:val="24"/>
          <w:highlight w:val="none"/>
          <w:lang w:eastAsia="zh-CN" w:bidi="ar"/>
          <w14:textFill>
            <w14:solidFill>
              <w14:schemeClr w14:val="tx1"/>
            </w14:solidFill>
          </w14:textFill>
        </w:rPr>
        <w:t>次</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招标的全部有关情况。现经我方认真分析研究，同意接受招标文件的全部条件并按此确定本项目投标的各项要约内容，以本投标文件向你方发包的全部内容进行投标。</w:t>
      </w:r>
      <w:r>
        <w:rPr>
          <w:rFonts w:hint="eastAsia" w:cs="宋体"/>
          <w:i w:val="0"/>
          <w:iCs w:val="0"/>
          <w:color w:val="000000" w:themeColor="text1"/>
          <w:kern w:val="0"/>
          <w:sz w:val="24"/>
          <w:szCs w:val="24"/>
          <w:highlight w:val="none"/>
          <w:lang w:eastAsia="zh-CN" w:bidi="ar"/>
          <w14:textFill>
            <w14:solidFill>
              <w14:schemeClr w14:val="tx1"/>
            </w14:solidFill>
          </w14:textFill>
        </w:rPr>
        <w:t>本项目</w:t>
      </w:r>
      <w:r>
        <w:rPr>
          <w:rFonts w:hint="eastAsia" w:cs="宋体"/>
          <w:i w:val="0"/>
          <w:iCs w:val="0"/>
          <w:color w:val="000000" w:themeColor="text1"/>
          <w:kern w:val="0"/>
          <w:sz w:val="24"/>
          <w:szCs w:val="24"/>
          <w:highlight w:val="none"/>
          <w:lang w:val="en-US" w:eastAsia="zh-CN" w:bidi="ar"/>
          <w14:textFill>
            <w14:solidFill>
              <w14:schemeClr w14:val="tx1"/>
            </w14:solidFill>
          </w14:textFill>
        </w:rPr>
        <w:t>投标总报价</w:t>
      </w:r>
      <w:r>
        <w:rPr>
          <w:rFonts w:hint="eastAsia" w:cs="宋体"/>
          <w:i w:val="0"/>
          <w:iCs w:val="0"/>
          <w:color w:val="000000" w:themeColor="text1"/>
          <w:kern w:val="0"/>
          <w:sz w:val="24"/>
          <w:szCs w:val="24"/>
          <w:highlight w:val="none"/>
          <w:lang w:eastAsia="zh-CN" w:bidi="ar"/>
          <w14:textFill>
            <w14:solidFill>
              <w14:schemeClr w14:val="tx1"/>
            </w14:solidFill>
          </w14:textFill>
        </w:rPr>
        <w:t>为：</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cs="宋体"/>
          <w:i w:val="0"/>
          <w:iCs w:val="0"/>
          <w:color w:val="000000" w:themeColor="text1"/>
          <w:kern w:val="0"/>
          <w:sz w:val="24"/>
          <w:szCs w:val="24"/>
          <w:highlight w:val="none"/>
          <w:u w:val="none"/>
          <w:lang w:val="en-US" w:eastAsia="zh-CN" w:bidi="ar"/>
          <w14:textFill>
            <w14:solidFill>
              <w14:schemeClr w14:val="tx1"/>
            </w14:solidFill>
          </w14:textFill>
        </w:rPr>
        <w:t>元。</w:t>
      </w:r>
    </w:p>
    <w:p w14:paraId="07D86BFE">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2、</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将按招标文件的规定履行合同责任和义务。</w:t>
      </w:r>
    </w:p>
    <w:p w14:paraId="5A242146">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3、</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已详细审查全部招标文件，包括修改文件(如有的话)和有关附件。我们完全理解并同意放弃对这方面有不明及误解的权力。</w:t>
      </w:r>
    </w:p>
    <w:p w14:paraId="471DFF29">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4、本投标有效期为自招标文件规定的提交投标文件截止之日起 90个日历日。在投标有效期内，</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同意遵守本投标文件中的承诺且在此期限期满之前投标文件对我方具有法律约束力。</w:t>
      </w:r>
    </w:p>
    <w:p w14:paraId="1BE8A7B1">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5、投标文件以</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（银行转</w:t>
      </w:r>
      <w:r>
        <w:rPr>
          <w:rFonts w:hint="eastAsia" w:cs="宋体"/>
          <w:i w:val="0"/>
          <w:iCs w:val="0"/>
          <w:color w:val="000000" w:themeColor="text1"/>
          <w:kern w:val="0"/>
          <w:sz w:val="24"/>
          <w:szCs w:val="24"/>
          <w:highlight w:val="none"/>
          <w:lang w:eastAsia="zh-CN" w:bidi="ar"/>
          <w14:textFill>
            <w14:solidFill>
              <w14:schemeClr w14:val="tx1"/>
            </w14:solidFill>
          </w14:textFill>
        </w:rPr>
        <w:t>账等</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）方式递交了投标保证金人民币</w:t>
      </w:r>
      <w:r>
        <w:rPr>
          <w:rFonts w:hint="eastAsia" w:cs="宋体"/>
          <w:i w:val="0"/>
          <w:iCs w:val="0"/>
          <w:color w:val="000000" w:themeColor="text1"/>
          <w:kern w:val="0"/>
          <w:sz w:val="24"/>
          <w:szCs w:val="24"/>
          <w:highlight w:val="none"/>
          <w:u w:val="single"/>
          <w:lang w:val="en-US" w:eastAsia="zh-CN" w:bidi="ar"/>
          <w14:textFill>
            <w14:solidFill>
              <w14:schemeClr w14:val="tx1"/>
            </w14:solidFill>
          </w14:textFill>
        </w:rPr>
        <w:t xml:space="preserve">       </w:t>
      </w:r>
      <w:r>
        <w:rPr>
          <w:rFonts w:hint="eastAsia" w:cs="宋体"/>
          <w:i w:val="0"/>
          <w:iCs w:val="0"/>
          <w:color w:val="000000" w:themeColor="text1"/>
          <w:kern w:val="0"/>
          <w:sz w:val="24"/>
          <w:szCs w:val="24"/>
          <w:highlight w:val="none"/>
          <w:u w:val="none"/>
          <w:lang w:val="en-US" w:eastAsia="zh-CN" w:bidi="ar"/>
          <w14:textFill>
            <w14:solidFill>
              <w14:schemeClr w14:val="tx1"/>
            </w14:solidFill>
          </w14:textFill>
        </w:rPr>
        <w:t>元</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p>
    <w:p w14:paraId="3E55E1AB">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6、如果发生招标文件“第二章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须知及前附表”</w:t>
      </w:r>
      <w:r>
        <w:rPr>
          <w:rFonts w:hint="eastAsia" w:cs="宋体"/>
          <w:i w:val="0"/>
          <w:iCs w:val="0"/>
          <w:color w:val="000000" w:themeColor="text1"/>
          <w:kern w:val="0"/>
          <w:sz w:val="24"/>
          <w:szCs w:val="24"/>
          <w:highlight w:val="none"/>
          <w:lang w:eastAsia="zh-CN" w:bidi="ar"/>
          <w14:textFill>
            <w14:solidFill>
              <w14:schemeClr w14:val="tx1"/>
            </w14:solidFill>
          </w14:textFill>
        </w:rPr>
        <w:t>中</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“二、</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须知”所述情况，则同意</w:t>
      </w:r>
      <w:r>
        <w:rPr>
          <w:rFonts w:hint="eastAsia" w:cs="宋体"/>
          <w:i w:val="0"/>
          <w:iCs w:val="0"/>
          <w:color w:val="000000" w:themeColor="text1"/>
          <w:kern w:val="0"/>
          <w:sz w:val="24"/>
          <w:szCs w:val="24"/>
          <w:highlight w:val="none"/>
          <w:lang w:eastAsia="zh-CN" w:bidi="ar"/>
          <w14:textFill>
            <w14:solidFill>
              <w14:schemeClr w14:val="tx1"/>
            </w14:solidFill>
          </w14:textFill>
        </w:rPr>
        <w:t>上饶市城投工程管理咨询有限公司</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不予退还投标保证金。</w:t>
      </w:r>
    </w:p>
    <w:p w14:paraId="28DEA6C5">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7、投标人同意提供按照贵方可能要求的与其投标有关的一切数据或资料。</w:t>
      </w:r>
    </w:p>
    <w:p w14:paraId="328EFA5F">
      <w:pPr>
        <w:pStyle w:val="7"/>
        <w:spacing w:line="360" w:lineRule="auto"/>
        <w:ind w:firstLine="480" w:firstLineChars="2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8、与本投标有关的一切正式往来信函请寄：</w:t>
      </w:r>
    </w:p>
    <w:p w14:paraId="3BB39847">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地    址：</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；电话：</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p>
    <w:p w14:paraId="4EE2940F">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电子邮箱：</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；传真：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w:t>
      </w:r>
    </w:p>
    <w:p w14:paraId="3D4D9FD1">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7028AFA6">
      <w:pPr>
        <w:pStyle w:val="17"/>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19072933">
      <w:pPr>
        <w:pStyle w:val="17"/>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4BF32ECA">
      <w:pPr>
        <w:rPr>
          <w:rFonts w:hint="eastAsia"/>
          <w:color w:val="000000" w:themeColor="text1"/>
          <w:highlight w:val="none"/>
          <w14:textFill>
            <w14:solidFill>
              <w14:schemeClr w14:val="tx1"/>
            </w14:solidFill>
          </w14:textFill>
        </w:rPr>
      </w:pPr>
    </w:p>
    <w:p w14:paraId="30FFE5E8">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53AC0892">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550030C6">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6E4BE655">
      <w:pPr>
        <w:pStyle w:val="7"/>
        <w:rPr>
          <w:rFonts w:hint="eastAsia"/>
          <w:color w:val="000000" w:themeColor="text1"/>
          <w:highlight w:val="none"/>
          <w14:textFill>
            <w14:solidFill>
              <w14:schemeClr w14:val="tx1"/>
            </w14:solidFill>
          </w14:textFill>
        </w:rPr>
      </w:pPr>
    </w:p>
    <w:p w14:paraId="3F0A6BD2">
      <w:pPr>
        <w:pStyle w:val="4"/>
        <w:numPr>
          <w:ilvl w:val="0"/>
          <w:numId w:val="0"/>
        </w:numPr>
        <w:adjustRightInd w:val="0"/>
        <w:snapToGrid w:val="0"/>
        <w:spacing w:before="0" w:after="0" w:line="360" w:lineRule="auto"/>
        <w:ind w:left="698" w:leftChars="0"/>
        <w:jc w:val="center"/>
        <w:rPr>
          <w:rFonts w:hint="eastAsia" w:ascii="宋体" w:hAnsi="宋体" w:eastAsia="宋体" w:cs="宋体"/>
          <w:b/>
          <w:bCs/>
          <w:color w:val="000000" w:themeColor="text1"/>
          <w:sz w:val="28"/>
          <w:szCs w:val="28"/>
          <w:highlight w:val="none"/>
          <w14:textFill>
            <w14:solidFill>
              <w14:schemeClr w14:val="tx1"/>
            </w14:solidFill>
          </w14:textFill>
        </w:rPr>
      </w:pPr>
      <w:bookmarkStart w:id="21" w:name="_Toc16922"/>
      <w:bookmarkStart w:id="22" w:name="_Toc60"/>
      <w:bookmarkStart w:id="23" w:name="_Toc31191"/>
      <w:r>
        <w:rPr>
          <w:rFonts w:hint="eastAsia" w:cs="宋体"/>
          <w:b/>
          <w:bCs/>
          <w:color w:val="000000" w:themeColor="text1"/>
          <w:kern w:val="2"/>
          <w:sz w:val="28"/>
          <w:szCs w:val="28"/>
          <w:highlight w:val="none"/>
          <w:lang w:val="en-US" w:eastAsia="zh-CN" w:bidi="zh-CN"/>
          <w14:textFill>
            <w14:solidFill>
              <w14:schemeClr w14:val="tx1"/>
            </w14:solidFill>
          </w14:textFill>
        </w:rPr>
        <w:t>二</w:t>
      </w:r>
      <w:r>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t>、</w:t>
      </w:r>
      <w:r>
        <w:rPr>
          <w:rFonts w:hint="eastAsia" w:ascii="宋体" w:hAnsi="宋体" w:eastAsia="宋体" w:cs="宋体"/>
          <w:b/>
          <w:bCs/>
          <w:color w:val="000000" w:themeColor="text1"/>
          <w:sz w:val="28"/>
          <w:szCs w:val="28"/>
          <w:highlight w:val="none"/>
          <w14:textFill>
            <w14:solidFill>
              <w14:schemeClr w14:val="tx1"/>
            </w14:solidFill>
          </w14:textFill>
        </w:rPr>
        <w:t>开标一览表</w:t>
      </w:r>
      <w:bookmarkEnd w:id="21"/>
      <w:bookmarkEnd w:id="22"/>
      <w:bookmarkEnd w:id="23"/>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44A199B2">
      <w:pPr>
        <w:numPr>
          <w:ilvl w:val="0"/>
          <w:numId w:val="0"/>
        </w:numPr>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招标项目编号：</w:t>
      </w:r>
    </w:p>
    <w:p w14:paraId="70526B2D">
      <w:pPr>
        <w:adjustRightInd w:val="0"/>
        <w:snapToGrid w:val="0"/>
        <w:spacing w:line="360" w:lineRule="auto"/>
        <w:rPr>
          <w:rFonts w:ascii="宋体" w:hAnsi="宋体" w:eastAsia="宋体"/>
          <w:b/>
          <w:color w:val="000000" w:themeColor="text1"/>
          <w:szCs w:val="21"/>
          <w:highlight w:val="none"/>
          <w14:textFill>
            <w14:solidFill>
              <w14:schemeClr w14:val="tx1"/>
            </w14:solidFill>
          </w14:textFill>
        </w:rPr>
      </w:pPr>
    </w:p>
    <w:tbl>
      <w:tblPr>
        <w:tblStyle w:val="19"/>
        <w:tblW w:w="93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95"/>
        <w:gridCol w:w="6728"/>
      </w:tblGrid>
      <w:tr w14:paraId="1F2CFD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17" w:hRule="atLeast"/>
          <w:jc w:val="center"/>
        </w:trPr>
        <w:tc>
          <w:tcPr>
            <w:tcW w:w="2595" w:type="dxa"/>
            <w:tcBorders>
              <w:top w:val="single" w:color="auto" w:sz="2" w:space="0"/>
              <w:left w:val="single" w:color="auto" w:sz="2" w:space="0"/>
              <w:bottom w:val="single" w:color="auto" w:sz="2" w:space="0"/>
              <w:right w:val="single" w:color="auto" w:sz="2" w:space="0"/>
            </w:tcBorders>
            <w:noWrap w:val="0"/>
            <w:vAlign w:val="center"/>
          </w:tcPr>
          <w:p w14:paraId="105CEC66">
            <w:pPr>
              <w:widowControl/>
              <w:jc w:val="center"/>
              <w:rPr>
                <w:rFonts w:hint="eastAsia" w:hAnsi="宋体" w:eastAsia="宋体" w:cs="宋体"/>
                <w:b/>
                <w:bCs/>
                <w:color w:val="auto"/>
                <w:sz w:val="24"/>
                <w:szCs w:val="24"/>
                <w:highlight w:val="none"/>
                <w:u w:val="none"/>
                <w:lang w:eastAsia="zh-CN"/>
              </w:rPr>
            </w:pPr>
            <w:r>
              <w:rPr>
                <w:rFonts w:hint="eastAsia" w:ascii="宋体" w:hAnsi="宋体" w:eastAsia="宋体" w:cs="宋体"/>
                <w:b/>
                <w:bCs/>
                <w:color w:val="auto"/>
                <w:kern w:val="0"/>
                <w:sz w:val="24"/>
                <w:szCs w:val="24"/>
                <w:highlight w:val="none"/>
                <w:lang w:val="en-US" w:eastAsia="zh-CN" w:bidi="ar"/>
              </w:rPr>
              <w:t>项目名称</w:t>
            </w:r>
          </w:p>
        </w:tc>
        <w:tc>
          <w:tcPr>
            <w:tcW w:w="6728" w:type="dxa"/>
            <w:tcBorders>
              <w:top w:val="single" w:color="auto" w:sz="2" w:space="0"/>
              <w:left w:val="single" w:color="auto" w:sz="2" w:space="0"/>
              <w:bottom w:val="single" w:color="auto" w:sz="2" w:space="0"/>
              <w:right w:val="single" w:color="auto" w:sz="2" w:space="0"/>
            </w:tcBorders>
            <w:noWrap w:val="0"/>
            <w:vAlign w:val="center"/>
          </w:tcPr>
          <w:p w14:paraId="1AB215D6">
            <w:pPr>
              <w:pStyle w:val="15"/>
              <w:spacing w:line="320" w:lineRule="exact"/>
              <w:jc w:val="center"/>
              <w:rPr>
                <w:rFonts w:hint="eastAsia" w:hAnsi="宋体" w:eastAsia="宋体" w:cs="宋体"/>
                <w:color w:val="auto"/>
                <w:sz w:val="24"/>
                <w:szCs w:val="24"/>
                <w:highlight w:val="none"/>
                <w:u w:val="none"/>
                <w:lang w:eastAsia="zh-CN"/>
              </w:rPr>
            </w:pPr>
          </w:p>
        </w:tc>
      </w:tr>
      <w:tr w14:paraId="4725DE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55" w:hRule="atLeast"/>
          <w:jc w:val="center"/>
        </w:trPr>
        <w:tc>
          <w:tcPr>
            <w:tcW w:w="2595" w:type="dxa"/>
            <w:tcBorders>
              <w:top w:val="single" w:color="auto" w:sz="2" w:space="0"/>
              <w:left w:val="single" w:color="auto" w:sz="2" w:space="0"/>
              <w:bottom w:val="single" w:color="auto" w:sz="2" w:space="0"/>
              <w:right w:val="single" w:color="auto" w:sz="2" w:space="0"/>
            </w:tcBorders>
            <w:noWrap w:val="0"/>
            <w:vAlign w:val="center"/>
          </w:tcPr>
          <w:p w14:paraId="14E1852B">
            <w:pPr>
              <w:spacing w:line="480" w:lineRule="auto"/>
              <w:jc w:val="center"/>
              <w:rPr>
                <w:rFonts w:hint="default" w:ascii="宋体" w:hAnsi="宋体"/>
                <w:b/>
                <w:bCs/>
                <w:color w:val="auto"/>
                <w:sz w:val="24"/>
                <w:szCs w:val="24"/>
                <w:highlight w:val="none"/>
                <w:lang w:val="en-US" w:eastAsia="zh-CN"/>
              </w:rPr>
            </w:pPr>
            <w:r>
              <w:rPr>
                <w:rFonts w:hint="default" w:ascii="宋体" w:hAnsi="宋体"/>
                <w:b/>
                <w:bCs/>
                <w:color w:val="auto"/>
                <w:sz w:val="24"/>
                <w:szCs w:val="24"/>
                <w:highlight w:val="none"/>
                <w:lang w:val="en-US" w:eastAsia="zh-CN"/>
              </w:rPr>
              <w:t>投标总报价</w:t>
            </w:r>
          </w:p>
        </w:tc>
        <w:tc>
          <w:tcPr>
            <w:tcW w:w="6728" w:type="dxa"/>
            <w:tcBorders>
              <w:top w:val="single" w:color="auto" w:sz="2" w:space="0"/>
              <w:left w:val="single" w:color="auto" w:sz="2" w:space="0"/>
              <w:bottom w:val="single" w:color="auto" w:sz="2" w:space="0"/>
              <w:right w:val="single" w:color="auto" w:sz="2" w:space="0"/>
            </w:tcBorders>
            <w:noWrap w:val="0"/>
            <w:vAlign w:val="center"/>
          </w:tcPr>
          <w:p w14:paraId="34A61A04">
            <w:pPr>
              <w:spacing w:line="480" w:lineRule="auto"/>
              <w:jc w:val="center"/>
              <w:rPr>
                <w:rFonts w:hint="eastAsia" w:ascii="宋体" w:hAnsi="宋体"/>
                <w:color w:val="auto"/>
                <w:sz w:val="24"/>
                <w:szCs w:val="20"/>
                <w:highlight w:val="none"/>
                <w:lang w:eastAsia="zh-CN"/>
              </w:rPr>
            </w:pPr>
            <w:r>
              <w:rPr>
                <w:rFonts w:hint="eastAsia" w:ascii="宋体" w:hAnsi="宋体"/>
                <w:color w:val="auto"/>
                <w:sz w:val="24"/>
                <w:szCs w:val="20"/>
                <w:highlight w:val="none"/>
                <w:lang w:eastAsia="zh-CN"/>
              </w:rPr>
              <w:t xml:space="preserve">小写金额： </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lang w:val="en-US" w:eastAsia="zh-CN"/>
              </w:rPr>
              <w:t>元</w:t>
            </w:r>
          </w:p>
          <w:p w14:paraId="7E3A08C5">
            <w:pPr>
              <w:spacing w:line="480" w:lineRule="auto"/>
              <w:jc w:val="center"/>
              <w:rPr>
                <w:rFonts w:hint="eastAsia" w:ascii="宋体" w:hAnsi="宋体"/>
                <w:color w:val="auto"/>
                <w:sz w:val="24"/>
                <w:szCs w:val="20"/>
                <w:highlight w:val="none"/>
                <w:lang w:eastAsia="zh-CN"/>
              </w:rPr>
            </w:pPr>
            <w:r>
              <w:rPr>
                <w:rFonts w:hint="eastAsia" w:ascii="宋体" w:hAnsi="宋体"/>
                <w:color w:val="auto"/>
                <w:sz w:val="24"/>
                <w:szCs w:val="20"/>
                <w:highlight w:val="none"/>
                <w:lang w:eastAsia="zh-CN"/>
              </w:rPr>
              <w:t xml:space="preserve">大写金额： </w:t>
            </w:r>
            <w:r>
              <w:rPr>
                <w:rFonts w:hint="eastAsia" w:ascii="宋体" w:hAnsi="宋体"/>
                <w:color w:val="auto"/>
                <w:sz w:val="24"/>
                <w:szCs w:val="20"/>
                <w:highlight w:val="none"/>
                <w:u w:val="single"/>
                <w:lang w:val="en-US" w:eastAsia="zh-CN"/>
              </w:rPr>
              <w:t xml:space="preserve">                    </w:t>
            </w:r>
            <w:r>
              <w:rPr>
                <w:rFonts w:hint="eastAsia" w:ascii="宋体" w:hAnsi="宋体"/>
                <w:color w:val="auto"/>
                <w:sz w:val="24"/>
                <w:szCs w:val="20"/>
                <w:highlight w:val="none"/>
                <w:lang w:val="en-US" w:eastAsia="zh-CN"/>
              </w:rPr>
              <w:t>元</w:t>
            </w:r>
          </w:p>
          <w:p w14:paraId="6BAD15AD">
            <w:pPr>
              <w:spacing w:line="480" w:lineRule="auto"/>
              <w:jc w:val="center"/>
              <w:rPr>
                <w:rFonts w:hint="eastAsia" w:ascii="宋体" w:hAnsi="宋体"/>
                <w:color w:val="auto"/>
                <w:sz w:val="24"/>
                <w:szCs w:val="20"/>
                <w:highlight w:val="none"/>
                <w:lang w:eastAsia="zh-CN"/>
              </w:rPr>
            </w:pPr>
            <w:r>
              <w:rPr>
                <w:rFonts w:hint="eastAsia" w:ascii="宋体" w:hAnsi="宋体"/>
                <w:color w:val="auto"/>
                <w:sz w:val="24"/>
                <w:szCs w:val="20"/>
                <w:highlight w:val="none"/>
                <w:lang w:eastAsia="zh-CN"/>
              </w:rPr>
              <w:t>（大写金额与小写金额不一致时，以大写金额为准）</w:t>
            </w:r>
          </w:p>
        </w:tc>
      </w:tr>
      <w:tr w14:paraId="1ACC70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55" w:hRule="atLeast"/>
          <w:jc w:val="center"/>
        </w:trPr>
        <w:tc>
          <w:tcPr>
            <w:tcW w:w="2595" w:type="dxa"/>
            <w:tcBorders>
              <w:top w:val="single" w:color="auto" w:sz="2" w:space="0"/>
              <w:left w:val="single" w:color="auto" w:sz="2" w:space="0"/>
              <w:bottom w:val="single" w:color="auto" w:sz="2" w:space="0"/>
              <w:right w:val="single" w:color="auto" w:sz="2" w:space="0"/>
            </w:tcBorders>
            <w:noWrap w:val="0"/>
            <w:vAlign w:val="center"/>
          </w:tcPr>
          <w:p w14:paraId="52371E5F">
            <w:pPr>
              <w:spacing w:line="480" w:lineRule="auto"/>
              <w:jc w:val="center"/>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供货期限</w:t>
            </w:r>
          </w:p>
        </w:tc>
        <w:tc>
          <w:tcPr>
            <w:tcW w:w="6728" w:type="dxa"/>
            <w:tcBorders>
              <w:top w:val="single" w:color="auto" w:sz="2" w:space="0"/>
              <w:left w:val="single" w:color="auto" w:sz="2" w:space="0"/>
              <w:bottom w:val="single" w:color="auto" w:sz="2" w:space="0"/>
              <w:right w:val="single" w:color="auto" w:sz="2" w:space="0"/>
            </w:tcBorders>
            <w:noWrap w:val="0"/>
            <w:vAlign w:val="center"/>
          </w:tcPr>
          <w:p w14:paraId="673F4809">
            <w:pPr>
              <w:spacing w:line="480" w:lineRule="auto"/>
              <w:jc w:val="center"/>
              <w:rPr>
                <w:rFonts w:hint="default" w:ascii="宋体" w:hAnsi="宋体"/>
                <w:color w:val="auto"/>
                <w:sz w:val="24"/>
                <w:szCs w:val="20"/>
                <w:highlight w:val="none"/>
                <w:lang w:val="en-US" w:eastAsia="zh-CN"/>
              </w:rPr>
            </w:pPr>
            <w:r>
              <w:rPr>
                <w:rFonts w:hint="eastAsia" w:ascii="宋体" w:hAnsi="宋体"/>
                <w:color w:val="auto"/>
                <w:sz w:val="24"/>
                <w:szCs w:val="20"/>
                <w:highlight w:val="none"/>
                <w:lang w:val="en-US" w:eastAsia="zh-CN"/>
              </w:rPr>
              <w:t>30天</w:t>
            </w:r>
          </w:p>
        </w:tc>
      </w:tr>
      <w:tr w14:paraId="43ADB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55" w:hRule="atLeast"/>
          <w:jc w:val="center"/>
        </w:trPr>
        <w:tc>
          <w:tcPr>
            <w:tcW w:w="2595" w:type="dxa"/>
            <w:tcBorders>
              <w:top w:val="single" w:color="auto" w:sz="2" w:space="0"/>
              <w:left w:val="single" w:color="auto" w:sz="2" w:space="0"/>
              <w:bottom w:val="single" w:color="auto" w:sz="2" w:space="0"/>
              <w:right w:val="single" w:color="auto" w:sz="2" w:space="0"/>
            </w:tcBorders>
            <w:noWrap w:val="0"/>
            <w:vAlign w:val="center"/>
          </w:tcPr>
          <w:p w14:paraId="00FB446A">
            <w:pPr>
              <w:spacing w:line="480" w:lineRule="auto"/>
              <w:jc w:val="center"/>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其他说明</w:t>
            </w:r>
          </w:p>
        </w:tc>
        <w:tc>
          <w:tcPr>
            <w:tcW w:w="6728" w:type="dxa"/>
            <w:tcBorders>
              <w:top w:val="single" w:color="auto" w:sz="2" w:space="0"/>
              <w:left w:val="single" w:color="auto" w:sz="2" w:space="0"/>
              <w:bottom w:val="single" w:color="auto" w:sz="2" w:space="0"/>
              <w:right w:val="single" w:color="auto" w:sz="2" w:space="0"/>
            </w:tcBorders>
            <w:noWrap w:val="0"/>
            <w:vAlign w:val="center"/>
          </w:tcPr>
          <w:p w14:paraId="35B7D3C7">
            <w:pPr>
              <w:spacing w:line="480" w:lineRule="auto"/>
              <w:jc w:val="center"/>
              <w:rPr>
                <w:rFonts w:hint="eastAsia" w:ascii="宋体" w:hAnsi="宋体"/>
                <w:color w:val="auto"/>
                <w:sz w:val="24"/>
                <w:szCs w:val="20"/>
                <w:highlight w:val="none"/>
                <w:lang w:eastAsia="zh-CN"/>
              </w:rPr>
            </w:pPr>
          </w:p>
        </w:tc>
      </w:tr>
    </w:tbl>
    <w:p w14:paraId="14C2C75D">
      <w:pPr>
        <w:pStyle w:val="13"/>
        <w:rPr>
          <w:rFonts w:ascii="宋体" w:hAnsi="宋体" w:eastAsia="宋体"/>
          <w:color w:val="000000" w:themeColor="text1"/>
          <w:szCs w:val="21"/>
          <w:highlight w:val="none"/>
          <w14:textFill>
            <w14:solidFill>
              <w14:schemeClr w14:val="tx1"/>
            </w14:solidFill>
          </w14:textFill>
        </w:rPr>
      </w:pPr>
    </w:p>
    <w:p w14:paraId="26DA56D4">
      <w:pPr>
        <w:rPr>
          <w:rFonts w:ascii="宋体" w:hAnsi="宋体" w:eastAsia="宋体"/>
          <w:color w:val="000000" w:themeColor="text1"/>
          <w:szCs w:val="21"/>
          <w:highlight w:val="none"/>
          <w14:textFill>
            <w14:solidFill>
              <w14:schemeClr w14:val="tx1"/>
            </w14:solidFill>
          </w14:textFill>
        </w:rPr>
      </w:pPr>
    </w:p>
    <w:p w14:paraId="62AF37AF">
      <w:pPr>
        <w:pStyle w:val="13"/>
        <w:rPr>
          <w:color w:val="000000" w:themeColor="text1"/>
          <w:highlight w:val="none"/>
          <w14:textFill>
            <w14:solidFill>
              <w14:schemeClr w14:val="tx1"/>
            </w14:solidFill>
          </w14:textFill>
        </w:rPr>
      </w:pPr>
    </w:p>
    <w:p w14:paraId="1EC516C2">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76FC2C6F">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33BBA4DF">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4C618606">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522D43F2">
      <w:pPr>
        <w:pStyle w:val="7"/>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7A40A549">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60C4208F">
      <w:pPr>
        <w:pStyle w:val="7"/>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316CFCE2">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186C36CD">
      <w:pPr>
        <w:pStyle w:val="7"/>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06CA5C46">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0DA7623A">
      <w:pPr>
        <w:pStyle w:val="7"/>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5865FC46">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6CBC2B48">
      <w:pPr>
        <w:pStyle w:val="13"/>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79A01D46">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4F1F136B">
      <w:pPr>
        <w:pStyle w:val="13"/>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17C1C8B0">
      <w:pP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229FA115">
      <w:pPr>
        <w:pStyle w:val="13"/>
        <w:rPr>
          <w:rFonts w:hint="eastAsia"/>
          <w:color w:val="000000" w:themeColor="text1"/>
          <w:highlight w:val="none"/>
          <w14:textFill>
            <w14:solidFill>
              <w14:schemeClr w14:val="tx1"/>
            </w14:solidFill>
          </w14:textFill>
        </w:rPr>
      </w:pPr>
    </w:p>
    <w:p w14:paraId="2025C666">
      <w:pPr>
        <w:pStyle w:val="7"/>
        <w:numPr>
          <w:ilvl w:val="0"/>
          <w:numId w:val="0"/>
        </w:numPr>
        <w:shd w:val="clear" w:color="auto" w:fill="auto"/>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kern w:val="2"/>
          <w:sz w:val="28"/>
          <w:szCs w:val="28"/>
          <w:highlight w:val="none"/>
          <w:lang w:val="en-US" w:eastAsia="zh-CN" w:bidi="zh-CN"/>
        </w:rPr>
        <w:t>三、投标分项报价表</w:t>
      </w: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4BA21507">
      <w:pPr>
        <w:shd w:val="clear" w:color="auto" w:fill="auto"/>
        <w:adjustRightInd w:val="0"/>
        <w:snapToGrid w:val="0"/>
        <w:spacing w:line="360" w:lineRule="auto"/>
        <w:rPr>
          <w:rFonts w:hint="eastAsia" w:ascii="宋体" w:hAnsi="宋体" w:cs="宋体"/>
          <w:color w:val="auto"/>
          <w:szCs w:val="21"/>
          <w:highlight w:val="none"/>
          <w:lang w:eastAsia="zh-CN"/>
        </w:rPr>
      </w:pPr>
    </w:p>
    <w:p w14:paraId="63012E19">
      <w:pPr>
        <w:shd w:val="clear" w:color="auto" w:fill="auto"/>
        <w:adjustRightInd w:val="0"/>
        <w:snapToGrid w:val="0"/>
        <w:spacing w:line="360" w:lineRule="auto"/>
        <w:rPr>
          <w:rFonts w:hint="default" w:ascii="宋体" w:hAnsi="宋体" w:eastAsia="宋体"/>
          <w:color w:val="auto"/>
          <w:sz w:val="24"/>
          <w:szCs w:val="24"/>
          <w:highlight w:val="none"/>
          <w:lang w:val="en-US" w:eastAsia="zh-CN"/>
        </w:rPr>
      </w:pPr>
      <w:r>
        <w:rPr>
          <w:rFonts w:hint="eastAsia" w:ascii="宋体" w:hAnsi="宋体" w:cs="宋体"/>
          <w:color w:val="auto"/>
          <w:szCs w:val="21"/>
          <w:highlight w:val="none"/>
          <w:lang w:eastAsia="zh-CN"/>
        </w:rPr>
        <w:t>投标人名称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项目</w:t>
      </w:r>
      <w:r>
        <w:rPr>
          <w:rFonts w:hint="eastAsia" w:ascii="宋体" w:hAnsi="宋体" w:eastAsia="宋体" w:cs="宋体"/>
          <w:color w:val="auto"/>
          <w:szCs w:val="21"/>
          <w:highlight w:val="none"/>
          <w:lang w:eastAsia="zh-CN"/>
        </w:rPr>
        <w:t>编号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color w:val="auto"/>
          <w:sz w:val="24"/>
          <w:szCs w:val="24"/>
          <w:highlight w:val="none"/>
          <w:lang w:val="en-US" w:eastAsia="zh-CN"/>
        </w:rPr>
        <w:t xml:space="preserve">   </w:t>
      </w:r>
    </w:p>
    <w:tbl>
      <w:tblPr>
        <w:tblStyle w:val="19"/>
        <w:tblW w:w="498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5"/>
        <w:gridCol w:w="1222"/>
        <w:gridCol w:w="1151"/>
        <w:gridCol w:w="1049"/>
        <w:gridCol w:w="670"/>
        <w:gridCol w:w="853"/>
        <w:gridCol w:w="1350"/>
        <w:gridCol w:w="1362"/>
        <w:gridCol w:w="1142"/>
      </w:tblGrid>
      <w:tr w14:paraId="14C55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EB9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000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货物名称</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A77E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cs="宋体"/>
                <w:b/>
                <w:bCs/>
                <w:i w:val="0"/>
                <w:iCs w:val="0"/>
                <w:color w:val="000000"/>
                <w:kern w:val="0"/>
                <w:sz w:val="18"/>
                <w:szCs w:val="18"/>
                <w:highlight w:val="none"/>
                <w:u w:val="none"/>
                <w:lang w:val="en-US" w:eastAsia="zh-CN" w:bidi="ar"/>
              </w:rPr>
              <w:t>品牌、型号</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2337">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货物参数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0A825">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6632B">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F6CA5">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最高限价（元）</w:t>
            </w:r>
          </w:p>
        </w:tc>
        <w:tc>
          <w:tcPr>
            <w:tcW w:w="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1AD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投标单价</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791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cs="宋体"/>
                <w:b/>
                <w:bCs/>
                <w:i w:val="0"/>
                <w:iCs w:val="0"/>
                <w:color w:val="000000"/>
                <w:kern w:val="0"/>
                <w:sz w:val="18"/>
                <w:szCs w:val="18"/>
                <w:highlight w:val="none"/>
                <w:u w:val="none"/>
                <w:lang w:val="en-US" w:eastAsia="zh-CN" w:bidi="ar"/>
              </w:rPr>
              <w:t>小计</w:t>
            </w:r>
          </w:p>
        </w:tc>
      </w:tr>
      <w:tr w14:paraId="03779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608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F7E5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C13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28A1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F74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6BE8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CB6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13A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36B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AD74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5473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AF1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9265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FEB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47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7D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26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AA5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E41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EF6C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852E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CA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376D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1F29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C0C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5A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09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D99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76F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98AE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2AE68">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C40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A2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584A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1820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2A24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348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ECE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3B8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C138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76A63A">
            <w:pPr>
              <w:keepNext w:val="0"/>
              <w:keepLines w:val="0"/>
              <w:widowControl/>
              <w:suppressLineNumbers w:val="0"/>
              <w:jc w:val="center"/>
              <w:textAlignment w:val="center"/>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投标总报价：</w:t>
            </w:r>
            <w:r>
              <w:rPr>
                <w:rFonts w:hint="eastAsia" w:ascii="宋体" w:hAnsi="宋体" w:eastAsia="宋体" w:cs="宋体"/>
                <w:b/>
                <w:bCs/>
                <w:color w:val="auto"/>
                <w:spacing w:val="4"/>
                <w:kern w:val="0"/>
                <w:sz w:val="24"/>
                <w:szCs w:val="24"/>
                <w:highlight w:val="none"/>
                <w:u w:val="single"/>
                <w:lang w:val="en-US" w:eastAsia="zh-CN" w:bidi="ar-SA"/>
              </w:rPr>
              <w:t xml:space="preserve">        </w:t>
            </w:r>
            <w:r>
              <w:rPr>
                <w:rFonts w:hint="eastAsia" w:ascii="宋体" w:hAnsi="宋体" w:cs="宋体"/>
                <w:b/>
                <w:bCs/>
                <w:color w:val="auto"/>
                <w:spacing w:val="4"/>
                <w:kern w:val="0"/>
                <w:sz w:val="24"/>
                <w:szCs w:val="24"/>
                <w:highlight w:val="none"/>
                <w:u w:val="none"/>
                <w:lang w:val="en-US" w:eastAsia="zh-CN" w:bidi="ar-SA"/>
              </w:rPr>
              <w:t>元</w:t>
            </w:r>
          </w:p>
        </w:tc>
      </w:tr>
    </w:tbl>
    <w:p w14:paraId="29D9359D">
      <w:pPr>
        <w:pStyle w:val="7"/>
        <w:shd w:val="clear" w:color="auto" w:fill="auto"/>
        <w:rPr>
          <w:rFonts w:hint="eastAsia"/>
          <w:color w:val="auto"/>
          <w:highlight w:val="none"/>
          <w:lang w:eastAsia="zh-CN"/>
        </w:rPr>
      </w:pPr>
    </w:p>
    <w:p w14:paraId="06055F7D">
      <w:pPr>
        <w:pStyle w:val="7"/>
        <w:spacing w:line="360" w:lineRule="auto"/>
        <w:ind w:firstLine="482" w:firstLineChars="200"/>
        <w:rPr>
          <w:rFonts w:hint="default"/>
          <w:b/>
          <w:bCs w:val="0"/>
          <w:color w:val="auto"/>
          <w:kern w:val="0"/>
          <w:sz w:val="24"/>
          <w:szCs w:val="24"/>
          <w:highlight w:val="none"/>
          <w:lang w:val="en-US" w:eastAsia="zh-CN"/>
        </w:rPr>
      </w:pPr>
      <w:r>
        <w:rPr>
          <w:rFonts w:hint="eastAsia"/>
          <w:b/>
          <w:bCs w:val="0"/>
          <w:color w:val="auto"/>
          <w:kern w:val="0"/>
          <w:sz w:val="24"/>
          <w:szCs w:val="24"/>
          <w:highlight w:val="none"/>
          <w:lang w:val="en-US" w:eastAsia="zh-CN"/>
        </w:rPr>
        <w:t>注：1.投标人有任何一项投标单价高于对应单价限价的，均视为无效投标。</w:t>
      </w:r>
    </w:p>
    <w:p w14:paraId="6D2A9E44">
      <w:pPr>
        <w:numPr>
          <w:ilvl w:val="0"/>
          <w:numId w:val="5"/>
        </w:numPr>
        <w:shd w:val="clear" w:color="auto" w:fill="auto"/>
        <w:ind w:firstLine="964" w:firstLineChars="400"/>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 xml:space="preserve">投标分项报价表中各项货物的投标单价将作为结算依据，根据实际供货量，据实结算。 </w:t>
      </w:r>
    </w:p>
    <w:p w14:paraId="50638C90">
      <w:pPr>
        <w:numPr>
          <w:ilvl w:val="0"/>
          <w:numId w:val="5"/>
        </w:numPr>
        <w:shd w:val="clear" w:color="auto" w:fill="auto"/>
        <w:ind w:firstLine="964" w:firstLineChars="400"/>
        <w:rPr>
          <w:rFonts w:hint="default" w:ascii="宋体" w:hAnsi="宋体" w:eastAsia="宋体" w:cs="宋体"/>
          <w:b/>
          <w:bCs w:val="0"/>
          <w:color w:val="auto"/>
          <w:kern w:val="0"/>
          <w:sz w:val="24"/>
          <w:szCs w:val="24"/>
          <w:highlight w:val="none"/>
          <w:lang w:val="en-US" w:eastAsia="zh-CN"/>
        </w:rPr>
      </w:pPr>
      <w:r>
        <w:rPr>
          <w:rFonts w:hint="eastAsia" w:cs="宋体"/>
          <w:b/>
          <w:bCs/>
          <w:i w:val="0"/>
          <w:iCs w:val="0"/>
          <w:color w:val="auto"/>
          <w:kern w:val="0"/>
          <w:sz w:val="24"/>
          <w:szCs w:val="24"/>
          <w:highlight w:val="none"/>
          <w:lang w:eastAsia="zh-CN" w:bidi="ar"/>
        </w:rPr>
        <w:t>品牌、型号不作限制，如无品牌、型号不作废标处理</w:t>
      </w:r>
      <w:r>
        <w:rPr>
          <w:rFonts w:hint="eastAsia" w:cs="宋体"/>
          <w:b/>
          <w:bCs/>
          <w:i w:val="0"/>
          <w:iCs w:val="0"/>
          <w:color w:val="auto"/>
          <w:kern w:val="0"/>
          <w:sz w:val="24"/>
          <w:szCs w:val="24"/>
          <w:highlight w:val="none"/>
          <w:u w:val="none"/>
          <w:lang w:val="en-US" w:eastAsia="zh-CN" w:bidi="ar"/>
        </w:rPr>
        <w:t>。</w:t>
      </w:r>
    </w:p>
    <w:p w14:paraId="2B553D71">
      <w:pPr>
        <w:pStyle w:val="7"/>
        <w:shd w:val="clear" w:color="auto" w:fill="auto"/>
        <w:rPr>
          <w:rFonts w:hint="eastAsia"/>
          <w:color w:val="auto"/>
          <w:highlight w:val="none"/>
          <w:lang w:eastAsia="zh-CN"/>
        </w:rPr>
      </w:pPr>
    </w:p>
    <w:p w14:paraId="6BED3B59">
      <w:pPr>
        <w:pStyle w:val="7"/>
        <w:shd w:val="clear" w:color="auto" w:fill="auto"/>
        <w:rPr>
          <w:rFonts w:hint="default" w:ascii="宋体" w:hAnsi="宋体" w:eastAsia="宋体" w:cs="宋体"/>
          <w:i w:val="0"/>
          <w:iCs w:val="0"/>
          <w:color w:val="auto"/>
          <w:kern w:val="2"/>
          <w:sz w:val="24"/>
          <w:szCs w:val="24"/>
          <w:highlight w:val="none"/>
          <w:lang w:bidi="ar"/>
        </w:rPr>
      </w:pPr>
    </w:p>
    <w:p w14:paraId="722776ED">
      <w:pPr>
        <w:pStyle w:val="7"/>
        <w:shd w:val="clear" w:color="auto" w:fill="auto"/>
        <w:spacing w:line="360" w:lineRule="auto"/>
        <w:rPr>
          <w:rFonts w:hint="eastAsia" w:ascii="宋体" w:hAnsi="宋体" w:eastAsia="宋体" w:cs="宋体"/>
          <w:i w:val="0"/>
          <w:iCs w:val="0"/>
          <w:color w:val="auto"/>
          <w:kern w:val="0"/>
          <w:sz w:val="24"/>
          <w:szCs w:val="24"/>
          <w:highlight w:val="none"/>
          <w:lang w:bidi="ar"/>
        </w:rPr>
      </w:pPr>
      <w:r>
        <w:rPr>
          <w:rFonts w:hint="eastAsia" w:ascii="宋体" w:hAnsi="宋体" w:eastAsia="宋体"/>
          <w:color w:val="auto"/>
          <w:sz w:val="24"/>
          <w:szCs w:val="24"/>
          <w:highlight w:val="none"/>
          <w:lang w:val="en-US" w:eastAsia="zh-CN"/>
        </w:rPr>
        <w:t xml:space="preserve">                    </w:t>
      </w:r>
      <w:r>
        <w:rPr>
          <w:rFonts w:hint="eastAsia" w:cs="宋体"/>
          <w:i w:val="0"/>
          <w:iCs w:val="0"/>
          <w:color w:val="auto"/>
          <w:kern w:val="0"/>
          <w:sz w:val="24"/>
          <w:szCs w:val="24"/>
          <w:highlight w:val="none"/>
          <w:lang w:eastAsia="zh-CN" w:bidi="ar"/>
        </w:rPr>
        <w:t>投标人</w:t>
      </w:r>
      <w:r>
        <w:rPr>
          <w:rFonts w:hint="eastAsia" w:ascii="宋体" w:hAnsi="宋体" w:eastAsia="宋体" w:cs="宋体"/>
          <w:i w:val="0"/>
          <w:iCs w:val="0"/>
          <w:color w:val="auto"/>
          <w:kern w:val="0"/>
          <w:sz w:val="24"/>
          <w:szCs w:val="24"/>
          <w:highlight w:val="none"/>
          <w:lang w:bidi="ar"/>
        </w:rPr>
        <w:t xml:space="preserve">名称（盖单位章）：                       </w:t>
      </w:r>
    </w:p>
    <w:p w14:paraId="6FB3F193">
      <w:pPr>
        <w:pStyle w:val="7"/>
        <w:shd w:val="clear" w:color="auto" w:fill="auto"/>
        <w:spacing w:line="360" w:lineRule="auto"/>
        <w:ind w:firstLine="240" w:firstLineChars="100"/>
        <w:rPr>
          <w:rFonts w:hint="eastAsia" w:ascii="宋体" w:hAnsi="宋体" w:eastAsia="宋体" w:cs="宋体"/>
          <w:i w:val="0"/>
          <w:iCs w:val="0"/>
          <w:color w:val="auto"/>
          <w:kern w:val="0"/>
          <w:sz w:val="24"/>
          <w:szCs w:val="24"/>
          <w:highlight w:val="none"/>
          <w:lang w:bidi="ar"/>
        </w:rPr>
      </w:pPr>
      <w:r>
        <w:rPr>
          <w:rFonts w:hint="eastAsia" w:ascii="宋体" w:hAnsi="宋体" w:eastAsia="宋体" w:cs="宋体"/>
          <w:i w:val="0"/>
          <w:iCs w:val="0"/>
          <w:color w:val="auto"/>
          <w:kern w:val="0"/>
          <w:sz w:val="24"/>
          <w:szCs w:val="24"/>
          <w:highlight w:val="none"/>
          <w:lang w:bidi="ar"/>
        </w:rPr>
        <w:t xml:space="preserve">法定代表人或其授权的代理人（签字或盖章）：               </w:t>
      </w:r>
    </w:p>
    <w:p w14:paraId="114906DC">
      <w:pPr>
        <w:pStyle w:val="7"/>
        <w:shd w:val="clear" w:color="auto" w:fill="auto"/>
        <w:spacing w:line="360" w:lineRule="auto"/>
        <w:ind w:firstLine="5040" w:firstLineChars="2100"/>
        <w:rPr>
          <w:rFonts w:hint="eastAsia" w:ascii="宋体" w:hAnsi="宋体" w:eastAsia="宋体" w:cs="宋体"/>
          <w:i w:val="0"/>
          <w:iCs w:val="0"/>
          <w:color w:val="auto"/>
          <w:kern w:val="0"/>
          <w:sz w:val="24"/>
          <w:szCs w:val="24"/>
          <w:highlight w:val="none"/>
          <w:lang w:bidi="ar"/>
        </w:rPr>
      </w:pPr>
      <w:r>
        <w:rPr>
          <w:rFonts w:hint="eastAsia" w:ascii="宋体" w:hAnsi="宋体" w:eastAsia="宋体" w:cs="宋体"/>
          <w:i w:val="0"/>
          <w:iCs w:val="0"/>
          <w:color w:val="auto"/>
          <w:kern w:val="0"/>
          <w:sz w:val="24"/>
          <w:szCs w:val="24"/>
          <w:highlight w:val="none"/>
          <w:lang w:bidi="ar"/>
        </w:rPr>
        <w:t>日期：</w:t>
      </w:r>
      <w:r>
        <w:rPr>
          <w:rFonts w:hint="eastAsia" w:ascii="宋体" w:hAnsi="宋体" w:eastAsia="宋体" w:cs="宋体"/>
          <w:i w:val="0"/>
          <w:iCs w:val="0"/>
          <w:color w:val="auto"/>
          <w:kern w:val="0"/>
          <w:sz w:val="24"/>
          <w:szCs w:val="24"/>
          <w:highlight w:val="none"/>
          <w:u w:val="single"/>
          <w:lang w:bidi="ar"/>
        </w:rPr>
        <w:t xml:space="preserve">       </w:t>
      </w:r>
      <w:r>
        <w:rPr>
          <w:rFonts w:hint="eastAsia" w:ascii="宋体" w:hAnsi="宋体" w:eastAsia="宋体" w:cs="宋体"/>
          <w:i w:val="0"/>
          <w:iCs w:val="0"/>
          <w:color w:val="auto"/>
          <w:kern w:val="0"/>
          <w:sz w:val="24"/>
          <w:szCs w:val="24"/>
          <w:highlight w:val="none"/>
          <w:lang w:bidi="ar"/>
        </w:rPr>
        <w:t>年</w:t>
      </w:r>
      <w:r>
        <w:rPr>
          <w:rFonts w:hint="eastAsia" w:ascii="宋体" w:hAnsi="宋体" w:eastAsia="宋体" w:cs="宋体"/>
          <w:i w:val="0"/>
          <w:iCs w:val="0"/>
          <w:color w:val="auto"/>
          <w:kern w:val="0"/>
          <w:sz w:val="24"/>
          <w:szCs w:val="24"/>
          <w:highlight w:val="none"/>
          <w:u w:val="single"/>
          <w:lang w:bidi="ar"/>
        </w:rPr>
        <w:t xml:space="preserve">       </w:t>
      </w:r>
      <w:r>
        <w:rPr>
          <w:rFonts w:hint="eastAsia" w:ascii="宋体" w:hAnsi="宋体" w:eastAsia="宋体" w:cs="宋体"/>
          <w:i w:val="0"/>
          <w:iCs w:val="0"/>
          <w:color w:val="auto"/>
          <w:kern w:val="0"/>
          <w:sz w:val="24"/>
          <w:szCs w:val="24"/>
          <w:highlight w:val="none"/>
          <w:lang w:bidi="ar"/>
        </w:rPr>
        <w:t>月</w:t>
      </w:r>
      <w:r>
        <w:rPr>
          <w:rFonts w:hint="eastAsia" w:ascii="宋体" w:hAnsi="宋体" w:eastAsia="宋体" w:cs="宋体"/>
          <w:i w:val="0"/>
          <w:iCs w:val="0"/>
          <w:color w:val="auto"/>
          <w:kern w:val="0"/>
          <w:sz w:val="24"/>
          <w:szCs w:val="24"/>
          <w:highlight w:val="none"/>
          <w:u w:val="single"/>
          <w:lang w:bidi="ar"/>
        </w:rPr>
        <w:t xml:space="preserve">      </w:t>
      </w:r>
      <w:r>
        <w:rPr>
          <w:rFonts w:hint="eastAsia" w:ascii="宋体" w:hAnsi="宋体" w:eastAsia="宋体" w:cs="宋体"/>
          <w:i w:val="0"/>
          <w:iCs w:val="0"/>
          <w:color w:val="auto"/>
          <w:kern w:val="0"/>
          <w:sz w:val="24"/>
          <w:szCs w:val="24"/>
          <w:highlight w:val="none"/>
          <w:lang w:bidi="ar"/>
        </w:rPr>
        <w:t>日</w:t>
      </w:r>
    </w:p>
    <w:p w14:paraId="1BF76924">
      <w:pPr>
        <w:pStyle w:val="7"/>
        <w:numPr>
          <w:ilvl w:val="0"/>
          <w:numId w:val="0"/>
        </w:numPr>
        <w:spacing w:line="360" w:lineRule="auto"/>
        <w:jc w:val="center"/>
        <w:rPr>
          <w:rFonts w:hint="eastAsia" w:cs="宋体"/>
          <w:b/>
          <w:bCs/>
          <w:color w:val="000000" w:themeColor="text1"/>
          <w:kern w:val="2"/>
          <w:sz w:val="28"/>
          <w:szCs w:val="28"/>
          <w:highlight w:val="none"/>
          <w:lang w:val="en-US" w:eastAsia="zh-CN" w:bidi="zh-CN"/>
          <w14:textFill>
            <w14:solidFill>
              <w14:schemeClr w14:val="tx1"/>
            </w14:solidFill>
          </w14:textFill>
        </w:rPr>
      </w:pPr>
    </w:p>
    <w:p w14:paraId="60377066">
      <w:pPr>
        <w:pStyle w:val="7"/>
        <w:numPr>
          <w:ilvl w:val="0"/>
          <w:numId w:val="0"/>
        </w:numPr>
        <w:spacing w:line="360" w:lineRule="auto"/>
        <w:jc w:val="center"/>
        <w:rPr>
          <w:rFonts w:hint="eastAsia" w:cs="宋体"/>
          <w:b/>
          <w:bCs/>
          <w:color w:val="000000" w:themeColor="text1"/>
          <w:kern w:val="2"/>
          <w:sz w:val="28"/>
          <w:szCs w:val="28"/>
          <w:highlight w:val="none"/>
          <w:lang w:val="en-US" w:eastAsia="zh-CN" w:bidi="zh-CN"/>
          <w14:textFill>
            <w14:solidFill>
              <w14:schemeClr w14:val="tx1"/>
            </w14:solidFill>
          </w14:textFill>
        </w:rPr>
      </w:pPr>
    </w:p>
    <w:p w14:paraId="799ACEEE">
      <w:pPr>
        <w:pStyle w:val="7"/>
        <w:numPr>
          <w:ilvl w:val="0"/>
          <w:numId w:val="0"/>
        </w:numPr>
        <w:spacing w:line="360" w:lineRule="auto"/>
        <w:jc w:val="center"/>
        <w:rPr>
          <w:rFonts w:hint="eastAsia" w:cs="宋体"/>
          <w:b/>
          <w:bCs/>
          <w:color w:val="000000" w:themeColor="text1"/>
          <w:kern w:val="2"/>
          <w:sz w:val="28"/>
          <w:szCs w:val="28"/>
          <w:highlight w:val="none"/>
          <w:lang w:val="en-US" w:eastAsia="zh-CN" w:bidi="zh-CN"/>
          <w14:textFill>
            <w14:solidFill>
              <w14:schemeClr w14:val="tx1"/>
            </w14:solidFill>
          </w14:textFill>
        </w:rPr>
      </w:pPr>
    </w:p>
    <w:p w14:paraId="7CD348FE">
      <w:pPr>
        <w:pStyle w:val="7"/>
        <w:numPr>
          <w:ilvl w:val="0"/>
          <w:numId w:val="0"/>
        </w:numPr>
        <w:spacing w:line="360" w:lineRule="auto"/>
        <w:jc w:val="center"/>
        <w:rPr>
          <w:rFonts w:hint="eastAsia" w:cs="宋体"/>
          <w:b/>
          <w:bCs/>
          <w:color w:val="000000" w:themeColor="text1"/>
          <w:kern w:val="2"/>
          <w:sz w:val="28"/>
          <w:szCs w:val="28"/>
          <w:highlight w:val="none"/>
          <w:lang w:val="en-US" w:eastAsia="zh-CN" w:bidi="zh-CN"/>
          <w14:textFill>
            <w14:solidFill>
              <w14:schemeClr w14:val="tx1"/>
            </w14:solidFill>
          </w14:textFill>
        </w:rPr>
      </w:pPr>
    </w:p>
    <w:p w14:paraId="0D1E3916">
      <w:pPr>
        <w:pStyle w:val="7"/>
        <w:numPr>
          <w:ilvl w:val="0"/>
          <w:numId w:val="0"/>
        </w:numPr>
        <w:spacing w:line="360" w:lineRule="auto"/>
        <w:jc w:val="center"/>
        <w:rPr>
          <w:rFonts w:hint="eastAsia" w:cs="宋体"/>
          <w:b/>
          <w:bCs/>
          <w:color w:val="000000" w:themeColor="text1"/>
          <w:kern w:val="2"/>
          <w:sz w:val="28"/>
          <w:szCs w:val="28"/>
          <w:highlight w:val="none"/>
          <w:lang w:val="en-US" w:eastAsia="zh-CN" w:bidi="zh-CN"/>
          <w14:textFill>
            <w14:solidFill>
              <w14:schemeClr w14:val="tx1"/>
            </w14:solidFill>
          </w14:textFill>
        </w:rPr>
      </w:pPr>
    </w:p>
    <w:p w14:paraId="1C9E6E40">
      <w:pPr>
        <w:pStyle w:val="7"/>
        <w:numPr>
          <w:ilvl w:val="0"/>
          <w:numId w:val="0"/>
        </w:numPr>
        <w:spacing w:line="360" w:lineRule="auto"/>
        <w:jc w:val="center"/>
        <w:rPr>
          <w:rFonts w:hint="eastAsia" w:cs="宋体"/>
          <w:b/>
          <w:bCs/>
          <w:color w:val="000000" w:themeColor="text1"/>
          <w:kern w:val="2"/>
          <w:sz w:val="28"/>
          <w:szCs w:val="28"/>
          <w:highlight w:val="none"/>
          <w:lang w:val="en-US" w:eastAsia="zh-CN" w:bidi="zh-CN"/>
          <w14:textFill>
            <w14:solidFill>
              <w14:schemeClr w14:val="tx1"/>
            </w14:solidFill>
          </w14:textFill>
        </w:rPr>
      </w:pPr>
    </w:p>
    <w:p w14:paraId="2F9607E3">
      <w:pPr>
        <w:rPr>
          <w:rFonts w:hint="eastAsia" w:cs="宋体"/>
          <w:b/>
          <w:bCs/>
          <w:color w:val="000000" w:themeColor="text1"/>
          <w:kern w:val="2"/>
          <w:sz w:val="28"/>
          <w:szCs w:val="28"/>
          <w:highlight w:val="none"/>
          <w:lang w:val="en-US" w:eastAsia="zh-CN" w:bidi="zh-CN"/>
          <w14:textFill>
            <w14:solidFill>
              <w14:schemeClr w14:val="tx1"/>
            </w14:solidFill>
          </w14:textFill>
        </w:rPr>
      </w:pPr>
    </w:p>
    <w:p w14:paraId="0132E05F">
      <w:pPr>
        <w:pStyle w:val="7"/>
        <w:rPr>
          <w:rFonts w:hint="eastAsia" w:cs="宋体"/>
          <w:b/>
          <w:bCs/>
          <w:color w:val="000000" w:themeColor="text1"/>
          <w:kern w:val="2"/>
          <w:sz w:val="28"/>
          <w:szCs w:val="28"/>
          <w:highlight w:val="none"/>
          <w:lang w:val="en-US" w:eastAsia="zh-CN" w:bidi="zh-CN"/>
          <w14:textFill>
            <w14:solidFill>
              <w14:schemeClr w14:val="tx1"/>
            </w14:solidFill>
          </w14:textFill>
        </w:rPr>
      </w:pPr>
    </w:p>
    <w:p w14:paraId="2322750C">
      <w:pPr>
        <w:rPr>
          <w:rFonts w:hint="eastAsia" w:cs="宋体"/>
          <w:b/>
          <w:bCs/>
          <w:color w:val="000000" w:themeColor="text1"/>
          <w:kern w:val="2"/>
          <w:sz w:val="28"/>
          <w:szCs w:val="28"/>
          <w:highlight w:val="none"/>
          <w:lang w:val="en-US" w:eastAsia="zh-CN" w:bidi="zh-CN"/>
          <w14:textFill>
            <w14:solidFill>
              <w14:schemeClr w14:val="tx1"/>
            </w14:solidFill>
          </w14:textFill>
        </w:rPr>
      </w:pPr>
    </w:p>
    <w:p w14:paraId="27AF8217">
      <w:pPr>
        <w:pStyle w:val="7"/>
        <w:rPr>
          <w:rFonts w:hint="eastAsia" w:cs="宋体"/>
          <w:b/>
          <w:bCs/>
          <w:color w:val="000000" w:themeColor="text1"/>
          <w:kern w:val="2"/>
          <w:sz w:val="28"/>
          <w:szCs w:val="28"/>
          <w:highlight w:val="none"/>
          <w:lang w:val="en-US" w:eastAsia="zh-CN" w:bidi="zh-CN"/>
          <w14:textFill>
            <w14:solidFill>
              <w14:schemeClr w14:val="tx1"/>
            </w14:solidFill>
          </w14:textFill>
        </w:rPr>
      </w:pPr>
    </w:p>
    <w:p w14:paraId="5AFDCFBF">
      <w:pPr>
        <w:rPr>
          <w:rFonts w:hint="eastAsia" w:cs="宋体"/>
          <w:b/>
          <w:bCs/>
          <w:color w:val="000000" w:themeColor="text1"/>
          <w:kern w:val="2"/>
          <w:sz w:val="28"/>
          <w:szCs w:val="28"/>
          <w:highlight w:val="none"/>
          <w:lang w:val="en-US" w:eastAsia="zh-CN" w:bidi="zh-CN"/>
          <w14:textFill>
            <w14:solidFill>
              <w14:schemeClr w14:val="tx1"/>
            </w14:solidFill>
          </w14:textFill>
        </w:rPr>
      </w:pPr>
    </w:p>
    <w:p w14:paraId="287A6B6F">
      <w:pPr>
        <w:pStyle w:val="7"/>
        <w:rPr>
          <w:rFonts w:hint="eastAsia" w:cs="宋体"/>
          <w:b/>
          <w:bCs/>
          <w:color w:val="000000" w:themeColor="text1"/>
          <w:kern w:val="2"/>
          <w:sz w:val="28"/>
          <w:szCs w:val="28"/>
          <w:highlight w:val="none"/>
          <w:lang w:val="en-US" w:eastAsia="zh-CN" w:bidi="zh-CN"/>
          <w14:textFill>
            <w14:solidFill>
              <w14:schemeClr w14:val="tx1"/>
            </w14:solidFill>
          </w14:textFill>
        </w:rPr>
      </w:pPr>
    </w:p>
    <w:p w14:paraId="06EFE589">
      <w:pPr>
        <w:rPr>
          <w:rFonts w:hint="eastAsia" w:cs="宋体"/>
          <w:b/>
          <w:bCs/>
          <w:color w:val="000000" w:themeColor="text1"/>
          <w:kern w:val="2"/>
          <w:sz w:val="28"/>
          <w:szCs w:val="28"/>
          <w:highlight w:val="none"/>
          <w:lang w:val="en-US" w:eastAsia="zh-CN" w:bidi="zh-CN"/>
          <w14:textFill>
            <w14:solidFill>
              <w14:schemeClr w14:val="tx1"/>
            </w14:solidFill>
          </w14:textFill>
        </w:rPr>
      </w:pPr>
    </w:p>
    <w:p w14:paraId="5970DC54">
      <w:pPr>
        <w:rPr>
          <w:rFonts w:hint="eastAsia" w:cs="宋体"/>
          <w:b/>
          <w:bCs/>
          <w:color w:val="000000" w:themeColor="text1"/>
          <w:kern w:val="2"/>
          <w:sz w:val="28"/>
          <w:szCs w:val="28"/>
          <w:highlight w:val="none"/>
          <w:lang w:val="en-US" w:eastAsia="zh-CN" w:bidi="zh-CN"/>
          <w14:textFill>
            <w14:solidFill>
              <w14:schemeClr w14:val="tx1"/>
            </w14:solidFill>
          </w14:textFill>
        </w:rPr>
      </w:pPr>
    </w:p>
    <w:p w14:paraId="1D60B486">
      <w:pPr>
        <w:rPr>
          <w:rFonts w:hint="eastAsia"/>
          <w:highlight w:val="none"/>
          <w:lang w:val="en-US" w:eastAsia="zh-CN"/>
        </w:rPr>
      </w:pPr>
    </w:p>
    <w:p w14:paraId="6BAD05ED">
      <w:pPr>
        <w:pStyle w:val="7"/>
        <w:numPr>
          <w:ilvl w:val="0"/>
          <w:numId w:val="0"/>
        </w:numPr>
        <w:spacing w:line="360" w:lineRule="auto"/>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cs="宋体"/>
          <w:b/>
          <w:bCs/>
          <w:color w:val="000000" w:themeColor="text1"/>
          <w:kern w:val="2"/>
          <w:sz w:val="28"/>
          <w:szCs w:val="28"/>
          <w:highlight w:val="none"/>
          <w:lang w:val="en-US" w:eastAsia="zh-CN" w:bidi="zh-CN"/>
          <w14:textFill>
            <w14:solidFill>
              <w14:schemeClr w14:val="tx1"/>
            </w14:solidFill>
          </w14:textFill>
        </w:rPr>
        <w:t>四</w:t>
      </w:r>
      <w: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t>、</w:t>
      </w:r>
      <w:r>
        <w:rPr>
          <w:rFonts w:hint="eastAsia" w:cs="宋体"/>
          <w:b/>
          <w:bCs/>
          <w:color w:val="000000" w:themeColor="text1"/>
          <w:kern w:val="2"/>
          <w:sz w:val="28"/>
          <w:szCs w:val="28"/>
          <w:highlight w:val="none"/>
          <w:lang w:val="en-US" w:eastAsia="zh-CN" w:bidi="zh-CN"/>
          <w14:textFill>
            <w14:solidFill>
              <w14:schemeClr w14:val="tx1"/>
            </w14:solidFill>
          </w14:textFill>
        </w:rPr>
        <w:t>技术参数、要求</w:t>
      </w:r>
      <w: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t>响应/偏离表</w:t>
      </w: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61427325">
      <w:pPr>
        <w:adjustRightInd w:val="0"/>
        <w:snapToGrid w:val="0"/>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招标项目名称</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招标项目编号</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 xml:space="preserve">             </w:t>
      </w:r>
    </w:p>
    <w:tbl>
      <w:tblPr>
        <w:tblStyle w:val="19"/>
        <w:tblW w:w="4522"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807"/>
        <w:gridCol w:w="2549"/>
        <w:gridCol w:w="3789"/>
        <w:gridCol w:w="1627"/>
      </w:tblGrid>
      <w:tr w14:paraId="30DEE7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460" w:type="pct"/>
            <w:noWrap w:val="0"/>
            <w:vAlign w:val="center"/>
          </w:tcPr>
          <w:p w14:paraId="712A469C">
            <w:pPr>
              <w:adjustRightInd w:val="0"/>
              <w:snapToGrid w:val="0"/>
              <w:spacing w:line="360" w:lineRule="auto"/>
              <w:ind w:left="-88" w:leftChars="-42"/>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序</w:t>
            </w:r>
            <w:r>
              <w:rPr>
                <w:rFonts w:hint="eastAsia" w:ascii="宋体" w:hAnsi="宋体" w:eastAsia="宋体" w:cs="宋体"/>
                <w:color w:val="000000" w:themeColor="text1"/>
                <w:szCs w:val="21"/>
                <w:highlight w:val="none"/>
                <w14:textFill>
                  <w14:solidFill>
                    <w14:schemeClr w14:val="tx1"/>
                  </w14:solidFill>
                </w14:textFill>
              </w:rPr>
              <w:t>号</w:t>
            </w:r>
          </w:p>
        </w:tc>
        <w:tc>
          <w:tcPr>
            <w:tcW w:w="1452" w:type="pct"/>
            <w:noWrap w:val="0"/>
            <w:vAlign w:val="center"/>
          </w:tcPr>
          <w:p w14:paraId="0A568DF7">
            <w:pPr>
              <w:adjustRightInd w:val="0"/>
              <w:snapToGrid w:val="0"/>
              <w:spacing w:line="360" w:lineRule="auto"/>
              <w:ind w:left="-84" w:leftChars="-40" w:firstLine="84" w:firstLineChars="40"/>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招标</w:t>
            </w:r>
            <w:r>
              <w:rPr>
                <w:rFonts w:hint="eastAsia" w:ascii="宋体" w:hAnsi="宋体" w:eastAsia="宋体" w:cs="宋体"/>
                <w:color w:val="000000" w:themeColor="text1"/>
                <w:highlight w:val="none"/>
                <w:lang w:eastAsia="zh-CN"/>
                <w14:textFill>
                  <w14:solidFill>
                    <w14:schemeClr w14:val="tx1"/>
                  </w14:solidFill>
                </w14:textFill>
              </w:rPr>
              <w:t>文件要求部分</w:t>
            </w:r>
          </w:p>
        </w:tc>
        <w:tc>
          <w:tcPr>
            <w:tcW w:w="2159" w:type="pct"/>
            <w:tcBorders>
              <w:right w:val="single" w:color="auto" w:sz="4" w:space="0"/>
            </w:tcBorders>
            <w:noWrap w:val="0"/>
            <w:vAlign w:val="center"/>
          </w:tcPr>
          <w:p w14:paraId="3453A600">
            <w:pPr>
              <w:adjustRightInd w:val="0"/>
              <w:snapToGrid w:val="0"/>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投标文件</w:t>
            </w:r>
            <w:r>
              <w:rPr>
                <w:rFonts w:hint="eastAsia" w:ascii="宋体" w:hAnsi="宋体" w:eastAsia="宋体" w:cs="宋体"/>
                <w:color w:val="000000" w:themeColor="text1"/>
                <w:highlight w:val="none"/>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部分</w:t>
            </w:r>
          </w:p>
        </w:tc>
        <w:tc>
          <w:tcPr>
            <w:tcW w:w="927" w:type="pct"/>
            <w:tcBorders>
              <w:left w:val="single" w:color="auto" w:sz="4" w:space="0"/>
            </w:tcBorders>
            <w:noWrap w:val="0"/>
            <w:vAlign w:val="center"/>
          </w:tcPr>
          <w:p w14:paraId="00E57295">
            <w:pPr>
              <w:adjustRightInd w:val="0"/>
              <w:snapToGrid w:val="0"/>
              <w:spacing w:line="360" w:lineRule="auto"/>
              <w:ind w:left="-88" w:leftChars="-42"/>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响应/偏离</w:t>
            </w:r>
          </w:p>
        </w:tc>
      </w:tr>
      <w:tr w14:paraId="67619C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460" w:type="pct"/>
            <w:noWrap w:val="0"/>
            <w:vAlign w:val="center"/>
          </w:tcPr>
          <w:p w14:paraId="049E3552">
            <w:pPr>
              <w:adjustRightInd w:val="0"/>
              <w:snapToGrid w:val="0"/>
              <w:spacing w:line="360" w:lineRule="auto"/>
              <w:ind w:left="-88" w:leftChars="-42"/>
              <w:jc w:val="center"/>
              <w:rPr>
                <w:rFonts w:hint="eastAsia" w:ascii="宋体" w:hAnsi="宋体" w:eastAsia="宋体" w:cs="宋体"/>
                <w:color w:val="000000" w:themeColor="text1"/>
                <w:szCs w:val="21"/>
                <w:highlight w:val="none"/>
                <w:lang w:val="en-US" w:eastAsia="zh-CN"/>
                <w14:textFill>
                  <w14:solidFill>
                    <w14:schemeClr w14:val="tx1"/>
                  </w14:solidFill>
                </w14:textFill>
              </w:rPr>
            </w:pPr>
          </w:p>
        </w:tc>
        <w:tc>
          <w:tcPr>
            <w:tcW w:w="1452" w:type="pct"/>
            <w:noWrap w:val="0"/>
            <w:vAlign w:val="center"/>
          </w:tcPr>
          <w:p w14:paraId="383687A7">
            <w:pPr>
              <w:keepNext w:val="0"/>
              <w:keepLines w:val="0"/>
              <w:pageBreakBefore w:val="0"/>
              <w:widowControl w:val="0"/>
              <w:numPr>
                <w:ilvl w:val="0"/>
                <w:numId w:val="0"/>
              </w:numPr>
              <w:tabs>
                <w:tab w:val="left" w:pos="1286"/>
              </w:tabs>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招标文件“第三章</w:t>
            </w:r>
            <w:r>
              <w:rPr>
                <w:rFonts w:hint="eastAsia" w:ascii="宋体" w:hAnsi="宋体" w:cs="宋体"/>
                <w:color w:val="000000" w:themeColor="text1"/>
                <w:highlight w:val="none"/>
                <w:lang w:eastAsia="zh-CN"/>
                <w14:textFill>
                  <w14:solidFill>
                    <w14:schemeClr w14:val="tx1"/>
                  </w14:solidFill>
                </w14:textFill>
              </w:rPr>
              <w:t>技术参数、要求及商务条款</w:t>
            </w:r>
            <w:r>
              <w:rPr>
                <w:rFonts w:hint="eastAsia" w:ascii="宋体" w:hAnsi="宋体" w:eastAsia="宋体" w:cs="宋体"/>
                <w:color w:val="000000" w:themeColor="text1"/>
                <w:highlight w:val="none"/>
                <w:lang w:eastAsia="zh-CN"/>
                <w14:textFill>
                  <w14:solidFill>
                    <w14:schemeClr w14:val="tx1"/>
                  </w14:solidFill>
                </w14:textFill>
              </w:rPr>
              <w:t>一、</w:t>
            </w:r>
            <w:r>
              <w:rPr>
                <w:rFonts w:hint="eastAsia" w:ascii="宋体" w:hAnsi="宋体" w:cs="宋体"/>
                <w:color w:val="000000" w:themeColor="text1"/>
                <w:highlight w:val="none"/>
                <w:lang w:eastAsia="zh-CN"/>
                <w14:textFill>
                  <w14:solidFill>
                    <w14:schemeClr w14:val="tx1"/>
                  </w14:solidFill>
                </w14:textFill>
              </w:rPr>
              <w:t>技术参数、要求</w:t>
            </w:r>
            <w:r>
              <w:rPr>
                <w:rFonts w:hint="eastAsia" w:ascii="宋体" w:hAnsi="宋体" w:eastAsia="宋体" w:cs="宋体"/>
                <w:color w:val="000000" w:themeColor="text1"/>
                <w:highlight w:val="none"/>
                <w:lang w:eastAsia="zh-CN"/>
                <w14:textFill>
                  <w14:solidFill>
                    <w14:schemeClr w14:val="tx1"/>
                  </w14:solidFill>
                </w14:textFill>
              </w:rPr>
              <w:t>”</w:t>
            </w:r>
          </w:p>
        </w:tc>
        <w:tc>
          <w:tcPr>
            <w:tcW w:w="2159" w:type="pct"/>
            <w:tcBorders>
              <w:right w:val="single" w:color="auto" w:sz="4" w:space="0"/>
            </w:tcBorders>
            <w:noWrap w:val="0"/>
            <w:vAlign w:val="center"/>
          </w:tcPr>
          <w:p w14:paraId="26E31F5C">
            <w:pPr>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完全响应</w:t>
            </w:r>
          </w:p>
        </w:tc>
        <w:tc>
          <w:tcPr>
            <w:tcW w:w="927" w:type="pct"/>
            <w:tcBorders>
              <w:left w:val="single" w:color="auto" w:sz="4" w:space="0"/>
            </w:tcBorders>
            <w:noWrap w:val="0"/>
            <w:vAlign w:val="center"/>
          </w:tcPr>
          <w:p w14:paraId="6AD9AF88">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无偏离</w:t>
            </w:r>
          </w:p>
        </w:tc>
      </w:tr>
    </w:tbl>
    <w:p w14:paraId="2F4923AF">
      <w:pPr>
        <w:pStyle w:val="7"/>
        <w:numPr>
          <w:ilvl w:val="0"/>
          <w:numId w:val="0"/>
        </w:numPr>
        <w:spacing w:line="360" w:lineRule="auto"/>
        <w:jc w:val="both"/>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注：投标人完全响应采购文件“第三章</w:t>
      </w:r>
      <w:r>
        <w:rPr>
          <w:rFonts w:hint="eastAsia" w:cs="宋体"/>
          <w:b/>
          <w:bCs/>
          <w:color w:val="000000" w:themeColor="text1"/>
          <w:sz w:val="24"/>
          <w:szCs w:val="24"/>
          <w:highlight w:val="none"/>
          <w:lang w:val="en-US" w:eastAsia="zh-CN"/>
          <w14:textFill>
            <w14:solidFill>
              <w14:schemeClr w14:val="tx1"/>
            </w14:solidFill>
          </w14:textFill>
        </w:rPr>
        <w:t>技术参数、要求</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及商务条款一、</w:t>
      </w:r>
      <w:r>
        <w:rPr>
          <w:rFonts w:hint="eastAsia" w:cs="宋体"/>
          <w:b/>
          <w:bCs/>
          <w:color w:val="000000" w:themeColor="text1"/>
          <w:sz w:val="24"/>
          <w:szCs w:val="24"/>
          <w:highlight w:val="none"/>
          <w:lang w:val="en-US" w:eastAsia="zh-CN"/>
          <w14:textFill>
            <w14:solidFill>
              <w14:schemeClr w14:val="tx1"/>
            </w14:solidFill>
          </w14:textFill>
        </w:rPr>
        <w:t>技术参数、要求</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”要求且无偏离的按上述格式填写即可。如有偏离须逐条列出。</w:t>
      </w:r>
    </w:p>
    <w:p w14:paraId="3C4DCDF4">
      <w:pPr>
        <w:pStyle w:val="7"/>
        <w:numPr>
          <w:ilvl w:val="0"/>
          <w:numId w:val="0"/>
        </w:numPr>
        <w:spacing w:line="360" w:lineRule="auto"/>
        <w:jc w:val="both"/>
        <w:rPr>
          <w:rFonts w:hint="default" w:ascii="宋体" w:hAnsi="宋体" w:eastAsia="宋体" w:cs="宋体"/>
          <w:b/>
          <w:bCs/>
          <w:color w:val="000000" w:themeColor="text1"/>
          <w:sz w:val="28"/>
          <w:szCs w:val="28"/>
          <w:highlight w:val="none"/>
          <w:lang w:val="en-US" w:eastAsia="zh-CN"/>
          <w14:textFill>
            <w14:solidFill>
              <w14:schemeClr w14:val="tx1"/>
            </w14:solidFill>
          </w14:textFill>
        </w:rPr>
      </w:pPr>
    </w:p>
    <w:p w14:paraId="01FBB285">
      <w:pPr>
        <w:pStyle w:val="7"/>
        <w:numPr>
          <w:ilvl w:val="0"/>
          <w:numId w:val="0"/>
        </w:numPr>
        <w:spacing w:line="360" w:lineRule="auto"/>
        <w:jc w:val="both"/>
        <w:rPr>
          <w:rFonts w:hint="default" w:ascii="宋体" w:hAnsi="宋体" w:eastAsia="宋体" w:cs="宋体"/>
          <w:b/>
          <w:bCs/>
          <w:color w:val="000000" w:themeColor="text1"/>
          <w:sz w:val="28"/>
          <w:szCs w:val="28"/>
          <w:highlight w:val="none"/>
          <w:lang w:val="en-US" w:eastAsia="zh-CN"/>
          <w14:textFill>
            <w14:solidFill>
              <w14:schemeClr w14:val="tx1"/>
            </w14:solidFill>
          </w14:textFill>
        </w:rPr>
      </w:pPr>
    </w:p>
    <w:p w14:paraId="0242FB44">
      <w:pPr>
        <w:rPr>
          <w:rFonts w:hint="default"/>
          <w:color w:val="000000" w:themeColor="text1"/>
          <w:highlight w:val="none"/>
          <w:lang w:val="en-US" w:eastAsia="zh-CN"/>
          <w14:textFill>
            <w14:solidFill>
              <w14:schemeClr w14:val="tx1"/>
            </w14:solidFill>
          </w14:textFill>
        </w:rPr>
      </w:pPr>
    </w:p>
    <w:p w14:paraId="51285789">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51679B71">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290CA1F5">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47A3372A">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7E8B7BF7">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p>
    <w:p w14:paraId="47447BD2">
      <w:pPr>
        <w:pStyle w:val="7"/>
        <w:rPr>
          <w:rFonts w:hint="eastAsia" w:ascii="宋体" w:hAnsi="宋体" w:eastAsia="宋体" w:cs="宋体"/>
          <w:i w:val="0"/>
          <w:iCs w:val="0"/>
          <w:color w:val="000000" w:themeColor="text1"/>
          <w:kern w:val="0"/>
          <w:sz w:val="84"/>
          <w:szCs w:val="84"/>
          <w:highlight w:val="none"/>
          <w:lang w:bidi="ar"/>
          <w14:textFill>
            <w14:solidFill>
              <w14:schemeClr w14:val="tx1"/>
            </w14:solidFill>
          </w14:textFill>
        </w:rPr>
      </w:pPr>
    </w:p>
    <w:p w14:paraId="685529E2">
      <w:pPr>
        <w:pStyle w:val="7"/>
        <w:rPr>
          <w:rFonts w:hint="eastAsia"/>
          <w:color w:val="000000" w:themeColor="text1"/>
          <w:highlight w:val="none"/>
          <w14:textFill>
            <w14:solidFill>
              <w14:schemeClr w14:val="tx1"/>
            </w14:solidFill>
          </w14:textFill>
        </w:rPr>
      </w:pPr>
    </w:p>
    <w:p w14:paraId="20CEEFDB">
      <w:pPr>
        <w:pStyle w:val="7"/>
        <w:numPr>
          <w:ilvl w:val="0"/>
          <w:numId w:val="0"/>
        </w:numPr>
        <w:spacing w:line="360" w:lineRule="auto"/>
        <w:jc w:val="cente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65D24229">
      <w:pPr>
        <w:pStyle w:val="7"/>
        <w:numPr>
          <w:ilvl w:val="0"/>
          <w:numId w:val="0"/>
        </w:numPr>
        <w:spacing w:line="360" w:lineRule="auto"/>
        <w:jc w:val="cente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637819C8">
      <w:pP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79C5F42D">
      <w:pPr>
        <w:pStyle w:val="3"/>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5E96CFE9">
      <w:pP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58C8ED04">
      <w:pPr>
        <w:pStyle w:val="3"/>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476EA341">
      <w:pP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38F1F73A">
      <w:pPr>
        <w:pStyle w:val="3"/>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3F4AC0D1">
      <w:pPr>
        <w:rPr>
          <w:rFonts w:hint="eastAsia"/>
          <w:color w:val="000000" w:themeColor="text1"/>
          <w:highlight w:val="none"/>
          <w:lang w:val="en-US" w:eastAsia="zh-CN"/>
          <w14:textFill>
            <w14:solidFill>
              <w14:schemeClr w14:val="tx1"/>
            </w14:solidFill>
          </w14:textFill>
        </w:rPr>
      </w:pPr>
    </w:p>
    <w:p w14:paraId="0846AB8E">
      <w:pP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1736249D">
      <w:pPr>
        <w:pStyle w:val="7"/>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6FA23719">
      <w:pPr>
        <w:pStyle w:val="7"/>
        <w:numPr>
          <w:ilvl w:val="0"/>
          <w:numId w:val="0"/>
        </w:numPr>
        <w:spacing w:line="360" w:lineRule="auto"/>
        <w:jc w:val="both"/>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19958024">
      <w:pPr>
        <w:pStyle w:val="7"/>
        <w:numPr>
          <w:ilvl w:val="0"/>
          <w:numId w:val="0"/>
        </w:numPr>
        <w:spacing w:line="360" w:lineRule="auto"/>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cs="宋体"/>
          <w:b/>
          <w:bCs/>
          <w:color w:val="000000" w:themeColor="text1"/>
          <w:kern w:val="2"/>
          <w:sz w:val="28"/>
          <w:szCs w:val="28"/>
          <w:highlight w:val="none"/>
          <w:lang w:val="en-US" w:eastAsia="zh-CN" w:bidi="zh-CN"/>
          <w14:textFill>
            <w14:solidFill>
              <w14:schemeClr w14:val="tx1"/>
            </w14:solidFill>
          </w14:textFill>
        </w:rPr>
        <w:t>五</w:t>
      </w:r>
      <w:r>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t>、商务</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条款响应/偏离表</w:t>
      </w: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7B1322DD">
      <w:pPr>
        <w:adjustRightInd w:val="0"/>
        <w:snapToGrid w:val="0"/>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招标项目名称</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招标项目编号</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 xml:space="preserve">             </w:t>
      </w:r>
    </w:p>
    <w:tbl>
      <w:tblPr>
        <w:tblStyle w:val="19"/>
        <w:tblW w:w="441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831"/>
        <w:gridCol w:w="2891"/>
        <w:gridCol w:w="3099"/>
        <w:gridCol w:w="1745"/>
      </w:tblGrid>
      <w:tr w14:paraId="2A47E5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485" w:type="pct"/>
            <w:noWrap w:val="0"/>
            <w:vAlign w:val="center"/>
          </w:tcPr>
          <w:p w14:paraId="7EA970AE">
            <w:pPr>
              <w:adjustRightInd w:val="0"/>
              <w:snapToGrid w:val="0"/>
              <w:spacing w:line="360" w:lineRule="auto"/>
              <w:ind w:left="-88" w:leftChars="-42"/>
              <w:jc w:val="center"/>
              <w:rPr>
                <w:rFonts w:ascii="宋体" w:hAnsi="宋体" w:eastAsia="宋体"/>
                <w:color w:val="000000" w:themeColor="text1"/>
                <w:szCs w:val="21"/>
                <w:highlight w:val="none"/>
                <w14:textFill>
                  <w14:solidFill>
                    <w14:schemeClr w14:val="tx1"/>
                  </w14:solidFill>
                </w14:textFill>
              </w:rPr>
            </w:pPr>
            <w:r>
              <w:rPr>
                <w:rFonts w:hint="eastAsia" w:ascii="宋体" w:hAnsi="宋体" w:eastAsia="宋体"/>
                <w:bCs/>
                <w:color w:val="000000" w:themeColor="text1"/>
                <w:szCs w:val="21"/>
                <w:highlight w:val="none"/>
                <w14:textFill>
                  <w14:solidFill>
                    <w14:schemeClr w14:val="tx1"/>
                  </w14:solidFill>
                </w14:textFill>
              </w:rPr>
              <w:t>序</w:t>
            </w:r>
            <w:r>
              <w:rPr>
                <w:rFonts w:hint="eastAsia" w:ascii="宋体" w:hAnsi="宋体" w:eastAsia="宋体"/>
                <w:color w:val="000000" w:themeColor="text1"/>
                <w:szCs w:val="21"/>
                <w:highlight w:val="none"/>
                <w14:textFill>
                  <w14:solidFill>
                    <w14:schemeClr w14:val="tx1"/>
                  </w14:solidFill>
                </w14:textFill>
              </w:rPr>
              <w:t>号</w:t>
            </w:r>
          </w:p>
        </w:tc>
        <w:tc>
          <w:tcPr>
            <w:tcW w:w="1687" w:type="pct"/>
            <w:tcBorders>
              <w:right w:val="single" w:color="auto" w:sz="4" w:space="0"/>
            </w:tcBorders>
            <w:noWrap w:val="0"/>
            <w:vAlign w:val="center"/>
          </w:tcPr>
          <w:p w14:paraId="4AD55042">
            <w:pPr>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招标文件</w:t>
            </w:r>
            <w:r>
              <w:rPr>
                <w:rFonts w:hint="eastAsia"/>
                <w:color w:val="000000" w:themeColor="text1"/>
                <w:highlight w:val="none"/>
                <w:lang w:eastAsia="zh-CN"/>
                <w14:textFill>
                  <w14:solidFill>
                    <w14:schemeClr w14:val="tx1"/>
                  </w14:solidFill>
                </w14:textFill>
              </w:rPr>
              <w:t>要求部分</w:t>
            </w:r>
          </w:p>
        </w:tc>
        <w:tc>
          <w:tcPr>
            <w:tcW w:w="1808" w:type="pct"/>
            <w:tcBorders>
              <w:left w:val="single" w:color="auto" w:sz="4" w:space="0"/>
            </w:tcBorders>
            <w:noWrap w:val="0"/>
            <w:vAlign w:val="center"/>
          </w:tcPr>
          <w:p w14:paraId="35D89445">
            <w:pPr>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投标文件</w:t>
            </w:r>
            <w:r>
              <w:rPr>
                <w:rFonts w:hint="eastAsia"/>
                <w:color w:val="000000" w:themeColor="text1"/>
                <w:highlight w:val="none"/>
                <w:lang w:eastAsia="zh-CN"/>
                <w14:textFill>
                  <w14:solidFill>
                    <w14:schemeClr w14:val="tx1"/>
                  </w14:solidFill>
                </w14:textFill>
              </w:rPr>
              <w:t>响应部分</w:t>
            </w:r>
          </w:p>
        </w:tc>
        <w:tc>
          <w:tcPr>
            <w:tcW w:w="1018" w:type="pct"/>
            <w:noWrap w:val="0"/>
            <w:vAlign w:val="center"/>
          </w:tcPr>
          <w:p w14:paraId="6D76547B">
            <w:pPr>
              <w:adjustRightInd w:val="0"/>
              <w:snapToGrid w:val="0"/>
              <w:spacing w:line="360" w:lineRule="auto"/>
              <w:ind w:left="-88" w:leftChars="-42"/>
              <w:jc w:val="center"/>
              <w:rPr>
                <w:rFonts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响应/偏离</w:t>
            </w:r>
          </w:p>
        </w:tc>
      </w:tr>
      <w:tr w14:paraId="253CAC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485" w:type="pct"/>
            <w:noWrap w:val="0"/>
            <w:vAlign w:val="center"/>
          </w:tcPr>
          <w:p w14:paraId="5CC5C2C2">
            <w:pPr>
              <w:adjustRightInd w:val="0"/>
              <w:snapToGrid w:val="0"/>
              <w:spacing w:line="360" w:lineRule="auto"/>
              <w:ind w:left="-88" w:leftChars="-42"/>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1687" w:type="pct"/>
            <w:tcBorders>
              <w:right w:val="single" w:color="auto" w:sz="4" w:space="0"/>
            </w:tcBorders>
            <w:noWrap w:val="0"/>
            <w:vAlign w:val="center"/>
          </w:tcPr>
          <w:p w14:paraId="38560A9B">
            <w:pPr>
              <w:jc w:val="cente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招标文件“第三章</w:t>
            </w:r>
            <w:r>
              <w:rPr>
                <w:rFonts w:hint="eastAsia" w:ascii="宋体" w:hAnsi="宋体" w:cs="宋体"/>
                <w:color w:val="000000" w:themeColor="text1"/>
                <w:highlight w:val="none"/>
                <w:lang w:val="en-US" w:eastAsia="zh-CN"/>
                <w14:textFill>
                  <w14:solidFill>
                    <w14:schemeClr w14:val="tx1"/>
                  </w14:solidFill>
                </w14:textFill>
              </w:rPr>
              <w:t>技术参数、要求</w:t>
            </w:r>
            <w:r>
              <w:rPr>
                <w:rFonts w:hint="eastAsia" w:ascii="宋体" w:hAnsi="宋体" w:eastAsia="宋体" w:cs="宋体"/>
                <w:color w:val="000000" w:themeColor="text1"/>
                <w:highlight w:val="none"/>
                <w:lang w:val="en-US" w:eastAsia="zh-CN"/>
                <w14:textFill>
                  <w14:solidFill>
                    <w14:schemeClr w14:val="tx1"/>
                  </w14:solidFill>
                </w14:textFill>
              </w:rPr>
              <w:t>及商务条款二、商务条款”</w:t>
            </w:r>
          </w:p>
        </w:tc>
        <w:tc>
          <w:tcPr>
            <w:tcW w:w="1808" w:type="pct"/>
            <w:tcBorders>
              <w:left w:val="single" w:color="auto" w:sz="4" w:space="0"/>
            </w:tcBorders>
            <w:noWrap w:val="0"/>
            <w:vAlign w:val="center"/>
          </w:tcPr>
          <w:p w14:paraId="6BD14812">
            <w:pPr>
              <w:jc w:val="center"/>
              <w:rPr>
                <w:rFonts w:hint="default"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完全响应</w:t>
            </w:r>
          </w:p>
        </w:tc>
        <w:tc>
          <w:tcPr>
            <w:tcW w:w="1018" w:type="pct"/>
            <w:noWrap w:val="0"/>
            <w:vAlign w:val="center"/>
          </w:tcPr>
          <w:p w14:paraId="32AEC85A">
            <w:pPr>
              <w:jc w:val="cente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无偏离</w:t>
            </w:r>
          </w:p>
        </w:tc>
      </w:tr>
    </w:tbl>
    <w:p w14:paraId="698C457A">
      <w:pPr>
        <w:pStyle w:val="9"/>
        <w:adjustRightInd w:val="0"/>
        <w:snapToGrid w:val="0"/>
        <w:spacing w:before="156" w:beforeLines="50" w:line="360" w:lineRule="auto"/>
        <w:ind w:left="0" w:leftChars="0" w:firstLine="0" w:firstLineChars="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注：投标人完全响应采购文件“第三章</w:t>
      </w:r>
      <w:r>
        <w:rPr>
          <w:rFonts w:hint="eastAsia" w:ascii="宋体" w:hAnsi="宋体" w:cs="宋体"/>
          <w:b/>
          <w:bCs/>
          <w:color w:val="000000" w:themeColor="text1"/>
          <w:sz w:val="24"/>
          <w:szCs w:val="24"/>
          <w:highlight w:val="none"/>
          <w:lang w:val="en-US" w:eastAsia="zh-CN"/>
          <w14:textFill>
            <w14:solidFill>
              <w14:schemeClr w14:val="tx1"/>
            </w14:solidFill>
          </w14:textFill>
        </w:rPr>
        <w:t>技术参数、要求</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及商务条款二、商务条款”要求且无偏离的按上述格式填写即可。如有偏离须逐条列出。</w:t>
      </w:r>
    </w:p>
    <w:p w14:paraId="1B9158DE">
      <w:pPr>
        <w:pStyle w:val="9"/>
        <w:adjustRightInd w:val="0"/>
        <w:snapToGrid w:val="0"/>
        <w:spacing w:before="156" w:beforeLines="50" w:line="360" w:lineRule="auto"/>
        <w:ind w:left="0" w:leftChars="0" w:firstLine="0" w:firstLineChars="0"/>
        <w:rPr>
          <w:rFonts w:hint="eastAsia" w:ascii="宋体" w:hAnsi="宋体" w:eastAsia="宋体"/>
          <w:color w:val="000000" w:themeColor="text1"/>
          <w:sz w:val="24"/>
          <w:szCs w:val="24"/>
          <w:highlight w:val="none"/>
          <w14:textFill>
            <w14:solidFill>
              <w14:schemeClr w14:val="tx1"/>
            </w14:solidFill>
          </w14:textFill>
        </w:rPr>
      </w:pPr>
    </w:p>
    <w:p w14:paraId="094AF318">
      <w:pPr>
        <w:pStyle w:val="12"/>
        <w:rPr>
          <w:rFonts w:hint="eastAsia" w:ascii="宋体" w:hAnsi="宋体" w:eastAsia="宋体"/>
          <w:color w:val="000000" w:themeColor="text1"/>
          <w:sz w:val="24"/>
          <w:szCs w:val="24"/>
          <w:highlight w:val="none"/>
          <w14:textFill>
            <w14:solidFill>
              <w14:schemeClr w14:val="tx1"/>
            </w14:solidFill>
          </w14:textFill>
        </w:rPr>
      </w:pPr>
    </w:p>
    <w:p w14:paraId="760F7496">
      <w:pPr>
        <w:pStyle w:val="12"/>
        <w:rPr>
          <w:rFonts w:hint="eastAsia" w:ascii="宋体" w:hAnsi="宋体" w:eastAsia="宋体"/>
          <w:color w:val="000000" w:themeColor="text1"/>
          <w:sz w:val="24"/>
          <w:szCs w:val="24"/>
          <w:highlight w:val="none"/>
          <w14:textFill>
            <w14:solidFill>
              <w14:schemeClr w14:val="tx1"/>
            </w14:solidFill>
          </w14:textFill>
        </w:rPr>
      </w:pPr>
    </w:p>
    <w:p w14:paraId="0B414FE8">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79A9EC72">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65BD6B2D">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485F00E1">
      <w:pPr>
        <w:pStyle w:val="7"/>
        <w:spacing w:line="360" w:lineRule="auto"/>
        <w:rPr>
          <w:rFonts w:hint="eastAsia" w:ascii="宋体" w:hAnsi="宋体" w:eastAsia="宋体" w:cs="宋体"/>
          <w:i w:val="0"/>
          <w:iCs w:val="0"/>
          <w:color w:val="000000" w:themeColor="text1"/>
          <w:kern w:val="0"/>
          <w:sz w:val="84"/>
          <w:szCs w:val="84"/>
          <w:highlight w:val="none"/>
          <w:lang w:bidi="ar"/>
          <w14:textFill>
            <w14:solidFill>
              <w14:schemeClr w14:val="tx1"/>
            </w14:solidFill>
          </w14:textFill>
        </w:rPr>
      </w:pPr>
    </w:p>
    <w:p w14:paraId="4E42FC0C">
      <w:pPr>
        <w:pStyle w:val="7"/>
        <w:spacing w:line="360" w:lineRule="auto"/>
        <w:rPr>
          <w:rFonts w:hint="eastAsia" w:ascii="宋体" w:hAnsi="宋体" w:eastAsia="宋体" w:cs="宋体"/>
          <w:i w:val="0"/>
          <w:iCs w:val="0"/>
          <w:color w:val="000000" w:themeColor="text1"/>
          <w:kern w:val="0"/>
          <w:sz w:val="84"/>
          <w:szCs w:val="84"/>
          <w:highlight w:val="none"/>
          <w:lang w:bidi="ar"/>
          <w14:textFill>
            <w14:solidFill>
              <w14:schemeClr w14:val="tx1"/>
            </w14:solidFill>
          </w14:textFill>
        </w:rPr>
      </w:pPr>
    </w:p>
    <w:p w14:paraId="339C0F2D">
      <w:pPr>
        <w:rPr>
          <w:rFonts w:hint="eastAsia"/>
          <w:color w:val="000000" w:themeColor="text1"/>
          <w:highlight w:val="none"/>
          <w14:textFill>
            <w14:solidFill>
              <w14:schemeClr w14:val="tx1"/>
            </w14:solidFill>
          </w14:textFill>
        </w:rPr>
      </w:pPr>
    </w:p>
    <w:p w14:paraId="1E1D635E">
      <w:pPr>
        <w:pStyle w:val="7"/>
        <w:numPr>
          <w:ilvl w:val="0"/>
          <w:numId w:val="0"/>
        </w:numPr>
        <w:spacing w:line="360" w:lineRule="auto"/>
        <w:ind w:left="0" w:leftChars="0" w:firstLine="0" w:firstLineChars="0"/>
        <w:jc w:val="both"/>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45A7D055">
      <w:pPr>
        <w:rPr>
          <w:rFonts w:hint="eastAsia"/>
          <w:color w:val="000000" w:themeColor="text1"/>
          <w:highlight w:val="none"/>
          <w:lang w:val="zh-CN" w:eastAsia="zh-CN"/>
          <w14:textFill>
            <w14:solidFill>
              <w14:schemeClr w14:val="tx1"/>
            </w14:solidFill>
          </w14:textFill>
        </w:rPr>
      </w:pPr>
    </w:p>
    <w:p w14:paraId="46EC5B84">
      <w:pPr>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163C8BCF">
      <w:pPr>
        <w:pStyle w:val="7"/>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2A7B6E3B">
      <w:pPr>
        <w:rPr>
          <w:rFonts w:hint="eastAsia"/>
          <w:color w:val="000000" w:themeColor="text1"/>
          <w:highlight w:val="none"/>
          <w:lang w:val="zh-CN" w:eastAsia="zh-CN"/>
          <w14:textFill>
            <w14:solidFill>
              <w14:schemeClr w14:val="tx1"/>
            </w14:solidFill>
          </w14:textFill>
        </w:rPr>
      </w:pPr>
    </w:p>
    <w:p w14:paraId="31FBE3F8">
      <w:pPr>
        <w:pStyle w:val="7"/>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7F9162CB">
      <w:pPr>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2E6FB0B4">
      <w:pPr>
        <w:pStyle w:val="7"/>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5915839B">
      <w:pPr>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7FADCAA8">
      <w:pPr>
        <w:pStyle w:val="3"/>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3B37A574">
      <w:pPr>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pPr>
    </w:p>
    <w:p w14:paraId="376DC154">
      <w:pPr>
        <w:pStyle w:val="7"/>
        <w:numPr>
          <w:ilvl w:val="0"/>
          <w:numId w:val="0"/>
        </w:numPr>
        <w:spacing w:line="360" w:lineRule="auto"/>
        <w:ind w:left="0" w:leftChars="0" w:firstLine="0" w:firstLineChars="0"/>
        <w:jc w:val="both"/>
        <w:rPr>
          <w:rFonts w:hint="eastAsia" w:ascii="宋体" w:hAnsi="宋体" w:eastAsia="宋体" w:cs="宋体"/>
          <w:b/>
          <w:bCs/>
          <w:color w:val="000000" w:themeColor="text1"/>
          <w:kern w:val="2"/>
          <w:sz w:val="28"/>
          <w:szCs w:val="28"/>
          <w:highlight w:val="none"/>
          <w:lang w:val="en-US" w:eastAsia="zh-CN" w:bidi="zh-CN"/>
          <w14:textFill>
            <w14:solidFill>
              <w14:schemeClr w14:val="tx1"/>
            </w14:solidFill>
          </w14:textFill>
        </w:rPr>
      </w:pPr>
    </w:p>
    <w:p w14:paraId="0EAEB8EE">
      <w:pPr>
        <w:pStyle w:val="7"/>
        <w:numPr>
          <w:ilvl w:val="0"/>
          <w:numId w:val="0"/>
        </w:numPr>
        <w:spacing w:line="360" w:lineRule="auto"/>
        <w:ind w:left="0" w:leftChars="0" w:firstLine="0" w:firstLineChars="0"/>
        <w:jc w:val="center"/>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cs="宋体"/>
          <w:b/>
          <w:bCs/>
          <w:color w:val="000000" w:themeColor="text1"/>
          <w:kern w:val="2"/>
          <w:sz w:val="28"/>
          <w:szCs w:val="28"/>
          <w:highlight w:val="none"/>
          <w:lang w:val="en-US" w:eastAsia="zh-CN" w:bidi="zh-CN"/>
          <w14:textFill>
            <w14:solidFill>
              <w14:schemeClr w14:val="tx1"/>
            </w14:solidFill>
          </w14:textFill>
        </w:rPr>
        <w:t>六</w:t>
      </w:r>
      <w:r>
        <w:rPr>
          <w:rFonts w:hint="eastAsia" w:ascii="宋体" w:hAnsi="宋体" w:eastAsia="宋体" w:cs="宋体"/>
          <w:b/>
          <w:bCs/>
          <w:color w:val="000000" w:themeColor="text1"/>
          <w:kern w:val="2"/>
          <w:sz w:val="28"/>
          <w:szCs w:val="28"/>
          <w:highlight w:val="none"/>
          <w:lang w:val="zh-CN" w:eastAsia="zh-CN" w:bidi="zh-CN"/>
          <w14:textFill>
            <w14:solidFill>
              <w14:schemeClr w14:val="tx1"/>
            </w14:solidFill>
          </w14:textFill>
        </w:rPr>
        <w:t>、</w:t>
      </w:r>
      <w:r>
        <w:rPr>
          <w:rFonts w:hint="eastAsia" w:ascii="宋体" w:hAnsi="宋体" w:eastAsia="宋体" w:cs="宋体"/>
          <w:b/>
          <w:bCs/>
          <w:color w:val="000000" w:themeColor="text1"/>
          <w:sz w:val="28"/>
          <w:szCs w:val="28"/>
          <w:highlight w:val="none"/>
          <w:lang w:eastAsia="zh-CN"/>
          <w14:textFill>
            <w14:solidFill>
              <w14:schemeClr w14:val="tx1"/>
            </w14:solidFill>
          </w14:textFill>
        </w:rPr>
        <w:t>投标人应当提交的资格、资信证明文件</w:t>
      </w:r>
    </w:p>
    <w:p w14:paraId="779A83CF">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1.具有独立承担民事责任的能力；【提供法人或者其他组织的营业执照；法人授权委托书及委托代理人身份证（法定代表人参加则需提供法定代表人身份证明书及法定代表人身份证）；自然人投标提供身份证明】</w:t>
      </w:r>
    </w:p>
    <w:p w14:paraId="402C777C">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2.具有良好的商业信誉和健全的财务会计制度；【提供下列材料之一：①提供近3年任意一年的年度财务审计报告；②提交投标截止时间前6个月内由投标人基本账户开户银行出具的银行资信证明（附开户许可证或基本存款账户信息）】</w:t>
      </w:r>
    </w:p>
    <w:p w14:paraId="557DAE48">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3.具有履行合同所必需的设备和专业技术能力；【提供承诺函，格式自拟】</w:t>
      </w:r>
    </w:p>
    <w:p w14:paraId="3256F786">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4.有依法缴纳税收和社会保障资金的良好记录；【提交投标截止时间前6个月内</w:t>
      </w:r>
      <w:r>
        <w:rPr>
          <w:rFonts w:hint="eastAsia"/>
          <w:b/>
          <w:bCs/>
          <w:color w:val="auto"/>
          <w:highlight w:val="none"/>
          <w:lang w:val="en-US" w:bidi="ar-SA"/>
        </w:rPr>
        <w:t>（不含开标当月）</w:t>
      </w:r>
      <w:r>
        <w:rPr>
          <w:rFonts w:hint="eastAsia"/>
          <w:color w:val="auto"/>
          <w:highlight w:val="none"/>
          <w:lang w:val="en-US" w:bidi="ar-SA"/>
        </w:rPr>
        <w:t>任意一个月的依法缴纳税收及社保的证明】</w:t>
      </w:r>
    </w:p>
    <w:p w14:paraId="3E668B4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5.参加招标活动前三年内，在经营活动中没有重大违法记录；【提供承诺函，格式自拟】</w:t>
      </w:r>
    </w:p>
    <w:p w14:paraId="0B42FC7D">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bidi="ar-SA"/>
        </w:rPr>
      </w:pPr>
      <w:r>
        <w:rPr>
          <w:rFonts w:hint="eastAsia"/>
          <w:color w:val="auto"/>
          <w:highlight w:val="none"/>
          <w:lang w:val="en-US" w:bidi="ar-SA"/>
        </w:rPr>
        <w:t>6.法律、行政法规规定的其他条件：①通过信用中国网站和中国政府采购网查询相关主体信用记录，被列入失信被执行人、重大税收违法失信主体、政府采购严重违法失信行为记录名单的投标人（处罚期限尚未届满的），不得参与本项目的采购活动；（告知项，无需提供证明材料）</w:t>
      </w:r>
    </w:p>
    <w:p w14:paraId="06C8A64D">
      <w:pPr>
        <w:pStyle w:val="7"/>
        <w:spacing w:line="360" w:lineRule="auto"/>
        <w:ind w:firstLine="480" w:firstLineChars="200"/>
        <w:rPr>
          <w:rFonts w:hint="eastAsia"/>
          <w:color w:val="auto"/>
          <w:highlight w:val="none"/>
          <w:lang w:val="en-US" w:bidi="ar-SA"/>
        </w:rPr>
      </w:pPr>
      <w:r>
        <w:rPr>
          <w:rFonts w:hint="eastAsia"/>
          <w:color w:val="auto"/>
          <w:highlight w:val="none"/>
          <w:lang w:val="en-US" w:bidi="ar-SA"/>
        </w:rPr>
        <w:t>②单位负责人为同一人或者存在直接控股、管理关系的不同投标人，不得参加同一合同项下的采购活动；（告知项，无需提供证明材料）</w:t>
      </w:r>
    </w:p>
    <w:p w14:paraId="0034A6E6">
      <w:pPr>
        <w:spacing w:line="360" w:lineRule="auto"/>
        <w:ind w:firstLine="480" w:firstLineChars="200"/>
        <w:rPr>
          <w:rFonts w:hint="eastAsia" w:ascii="宋体" w:hAnsi="宋体" w:eastAsia="宋体" w:cs="宋体"/>
          <w:b w:val="0"/>
          <w:bCs w:val="0"/>
          <w:color w:val="000000" w:themeColor="text1"/>
          <w:kern w:val="0"/>
          <w:sz w:val="24"/>
          <w:szCs w:val="24"/>
          <w:highlight w:val="none"/>
          <w:lang w:val="zh-CN" w:eastAsia="zh-CN" w:bidi="ar-SA"/>
          <w14:textFill>
            <w14:solidFill>
              <w14:schemeClr w14:val="tx1"/>
            </w14:solidFill>
          </w14:textFill>
        </w:rPr>
      </w:pPr>
      <w:r>
        <w:rPr>
          <w:rFonts w:hint="eastAsia" w:ascii="宋体" w:hAnsi="宋体" w:cs="宋体"/>
          <w:color w:val="auto"/>
          <w:sz w:val="24"/>
          <w:szCs w:val="24"/>
          <w:highlight w:val="none"/>
          <w:lang w:val="en-US" w:eastAsia="zh-CN"/>
        </w:rPr>
        <w:t>7.</w:t>
      </w:r>
      <w:r>
        <w:rPr>
          <w:rFonts w:ascii="宋体" w:hAnsi="宋体" w:cs="宋体"/>
          <w:color w:val="auto"/>
          <w:sz w:val="24"/>
          <w:szCs w:val="24"/>
          <w:highlight w:val="none"/>
        </w:rPr>
        <w:t>本项目不接受联合体投标，且不允许转包、分包。【提供承诺函，格式自拟】</w:t>
      </w:r>
    </w:p>
    <w:p w14:paraId="611ED59D">
      <w:pPr>
        <w:numPr>
          <w:ilvl w:val="0"/>
          <w:numId w:val="0"/>
        </w:numPr>
        <w:spacing w:line="360" w:lineRule="auto"/>
        <w:ind w:firstLine="480" w:firstLineChars="200"/>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本项目的特定资格要求：</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34B195ED">
      <w:pPr>
        <w:widowControl/>
        <w:spacing w:line="360" w:lineRule="auto"/>
        <w:ind w:firstLine="482" w:firstLineChars="200"/>
        <w:jc w:val="left"/>
        <w:rPr>
          <w:rFonts w:hint="eastAsia" w:ascii="宋体" w:hAnsi="宋体" w:eastAsia="宋体" w:cs="宋体"/>
          <w:b/>
          <w:bCs/>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b/>
          <w:bCs/>
          <w:color w:val="000000" w:themeColor="text1"/>
          <w:kern w:val="0"/>
          <w:sz w:val="24"/>
          <w:szCs w:val="24"/>
          <w:highlight w:val="none"/>
          <w:lang w:val="zh-CN" w:eastAsia="zh-CN" w:bidi="ar-SA"/>
          <w14:textFill>
            <w14:solidFill>
              <w14:schemeClr w14:val="tx1"/>
            </w14:solidFill>
          </w14:textFill>
        </w:rPr>
        <w:t>注：</w:t>
      </w: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1、</w:t>
      </w:r>
      <w:r>
        <w:rPr>
          <w:rFonts w:hint="eastAsia" w:ascii="宋体" w:hAnsi="宋体" w:cs="宋体"/>
          <w:b/>
          <w:bCs/>
          <w:color w:val="000000" w:themeColor="text1"/>
          <w:spacing w:val="-6"/>
          <w:kern w:val="0"/>
          <w:sz w:val="24"/>
          <w:szCs w:val="24"/>
          <w:highlight w:val="none"/>
          <w14:textFill>
            <w14:solidFill>
              <w14:schemeClr w14:val="tx1"/>
            </w14:solidFill>
          </w14:textFill>
        </w:rPr>
        <w:t>以上资格要求除告知项外，投标文件中提供复印件加盖公章，法人授权书及代理人身份证须提供原件（法人授权书原件允许装订入投标文件中），并对其真实性负责。</w:t>
      </w:r>
      <w:r>
        <w:rPr>
          <w:rFonts w:hint="eastAsia" w:ascii="宋体" w:hAnsi="宋体" w:cs="宋体"/>
          <w:b/>
          <w:bCs/>
          <w:color w:val="000000" w:themeColor="text1"/>
          <w:spacing w:val="-6"/>
          <w:kern w:val="0"/>
          <w:sz w:val="24"/>
          <w:szCs w:val="24"/>
          <w:highlight w:val="none"/>
          <w:lang w:val="zh-CN"/>
          <w14:textFill>
            <w14:solidFill>
              <w14:schemeClr w14:val="tx1"/>
            </w14:solidFill>
          </w14:textFill>
        </w:rPr>
        <w:t>投标人和投标委托人应确保所有投标文件的证明文件等资料的真实性、有效性及合法性，所有复印件或影印件资料必须加盖投标人公章，否则，如由此引起的不相符、不真实等任何后果</w:t>
      </w:r>
      <w:r>
        <w:rPr>
          <w:rFonts w:hint="eastAsia" w:ascii="宋体" w:hAnsi="宋体" w:cs="宋体"/>
          <w:b/>
          <w:bCs/>
          <w:color w:val="000000" w:themeColor="text1"/>
          <w:spacing w:val="-6"/>
          <w:kern w:val="0"/>
          <w:sz w:val="24"/>
          <w:szCs w:val="24"/>
          <w:highlight w:val="none"/>
          <w14:textFill>
            <w14:solidFill>
              <w14:schemeClr w14:val="tx1"/>
            </w14:solidFill>
          </w14:textFill>
        </w:rPr>
        <w:t>将</w:t>
      </w:r>
      <w:r>
        <w:rPr>
          <w:rFonts w:hint="eastAsia" w:ascii="宋体" w:hAnsi="宋体" w:cs="宋体"/>
          <w:b/>
          <w:bCs/>
          <w:color w:val="000000" w:themeColor="text1"/>
          <w:spacing w:val="-6"/>
          <w:kern w:val="0"/>
          <w:sz w:val="24"/>
          <w:szCs w:val="24"/>
          <w:highlight w:val="none"/>
          <w:lang w:val="zh-CN"/>
          <w14:textFill>
            <w14:solidFill>
              <w14:schemeClr w14:val="tx1"/>
            </w14:solidFill>
          </w14:textFill>
        </w:rPr>
        <w:t>做无效投标处理，责任由投标人自行承担。</w:t>
      </w:r>
    </w:p>
    <w:p w14:paraId="0AFB2E50">
      <w:pPr>
        <w:pStyle w:val="7"/>
        <w:spacing w:line="360" w:lineRule="auto"/>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eastAsia="zh-CN" w:bidi="ar-SA"/>
          <w14:textFill>
            <w14:solidFill>
              <w14:schemeClr w14:val="tx1"/>
            </w14:solidFill>
          </w14:textFill>
        </w:rPr>
        <w:t xml:space="preserve">  </w:t>
      </w: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 xml:space="preserve">  </w:t>
      </w:r>
    </w:p>
    <w:p w14:paraId="5385328D">
      <w:pPr>
        <w:pStyle w:val="16"/>
        <w:keepNext w:val="0"/>
        <w:keepLines w:val="0"/>
        <w:widowControl/>
        <w:suppressLineNumbers w:val="0"/>
        <w:spacing w:before="372" w:beforeAutospacing="0" w:after="0" w:afterAutospacing="0" w:line="360" w:lineRule="auto"/>
        <w:ind w:right="0"/>
        <w:jc w:val="both"/>
        <w:outlineLvl w:val="0"/>
        <w:rPr>
          <w:rFonts w:hint="eastAsia" w:ascii="宋体" w:hAnsi="宋体" w:eastAsia="宋体" w:cs="宋体"/>
          <w:b/>
          <w:bCs/>
          <w:color w:val="000000" w:themeColor="text1"/>
          <w:kern w:val="2"/>
          <w:sz w:val="30"/>
          <w:szCs w:val="30"/>
          <w:highlight w:val="none"/>
          <w:lang w:val="en-US" w:eastAsia="zh-CN" w:bidi="zh-CN"/>
          <w14:textFill>
            <w14:solidFill>
              <w14:schemeClr w14:val="tx1"/>
            </w14:solidFill>
          </w14:textFill>
        </w:rPr>
      </w:pPr>
      <w:bookmarkStart w:id="24" w:name="_Toc23682"/>
    </w:p>
    <w:p w14:paraId="0DD514AD">
      <w:pPr>
        <w:pStyle w:val="16"/>
        <w:keepNext w:val="0"/>
        <w:keepLines w:val="0"/>
        <w:widowControl/>
        <w:suppressLineNumbers w:val="0"/>
        <w:spacing w:before="372" w:beforeAutospacing="0" w:after="0" w:afterAutospacing="0" w:line="360" w:lineRule="auto"/>
        <w:ind w:right="0"/>
        <w:jc w:val="both"/>
        <w:outlineLvl w:val="0"/>
        <w:rPr>
          <w:rFonts w:hint="eastAsia" w:ascii="宋体" w:hAnsi="宋体" w:eastAsia="宋体" w:cs="宋体"/>
          <w:b/>
          <w:bCs/>
          <w:color w:val="000000" w:themeColor="text1"/>
          <w:kern w:val="2"/>
          <w:sz w:val="30"/>
          <w:szCs w:val="30"/>
          <w:highlight w:val="none"/>
          <w:lang w:val="en-US" w:eastAsia="zh-CN" w:bidi="zh-CN"/>
          <w14:textFill>
            <w14:solidFill>
              <w14:schemeClr w14:val="tx1"/>
            </w14:solidFill>
          </w14:textFill>
        </w:rPr>
      </w:pPr>
    </w:p>
    <w:p w14:paraId="376155CC">
      <w:pPr>
        <w:pStyle w:val="16"/>
        <w:keepNext w:val="0"/>
        <w:keepLines w:val="0"/>
        <w:widowControl/>
        <w:suppressLineNumbers w:val="0"/>
        <w:spacing w:before="372" w:beforeAutospacing="0" w:after="0" w:afterAutospacing="0" w:line="360" w:lineRule="auto"/>
        <w:ind w:left="0" w:right="0" w:firstLine="240"/>
        <w:jc w:val="center"/>
        <w:outlineLvl w:val="0"/>
        <w:rPr>
          <w:rFonts w:hint="eastAsia" w:ascii="宋体" w:hAnsi="宋体" w:eastAsia="宋体" w:cs="宋体"/>
          <w:b/>
          <w:bCs/>
          <w:color w:val="000000" w:themeColor="text1"/>
          <w:kern w:val="2"/>
          <w:sz w:val="30"/>
          <w:szCs w:val="30"/>
          <w:highlight w:val="none"/>
          <w:lang w:val="en-US" w:eastAsia="zh-CN" w:bidi="zh-CN"/>
          <w14:textFill>
            <w14:solidFill>
              <w14:schemeClr w14:val="tx1"/>
            </w14:solidFill>
          </w14:textFill>
        </w:rPr>
      </w:pPr>
      <w:bookmarkStart w:id="25" w:name="_Toc9153"/>
      <w:r>
        <w:rPr>
          <w:rFonts w:hint="eastAsia" w:ascii="宋体" w:hAnsi="宋体" w:cs="宋体"/>
          <w:b/>
          <w:bCs/>
          <w:color w:val="000000" w:themeColor="text1"/>
          <w:kern w:val="2"/>
          <w:sz w:val="30"/>
          <w:szCs w:val="30"/>
          <w:highlight w:val="none"/>
          <w:lang w:val="en-US" w:eastAsia="zh-CN" w:bidi="zh-CN"/>
          <w14:textFill>
            <w14:solidFill>
              <w14:schemeClr w14:val="tx1"/>
            </w14:solidFill>
          </w14:textFill>
        </w:rPr>
        <w:t>6</w:t>
      </w:r>
      <w:r>
        <w:rPr>
          <w:rFonts w:hint="eastAsia" w:ascii="宋体" w:hAnsi="宋体" w:eastAsia="宋体" w:cs="宋体"/>
          <w:b/>
          <w:bCs/>
          <w:color w:val="000000" w:themeColor="text1"/>
          <w:kern w:val="2"/>
          <w:sz w:val="30"/>
          <w:szCs w:val="30"/>
          <w:highlight w:val="none"/>
          <w:lang w:val="en-US" w:eastAsia="zh-CN" w:bidi="zh-CN"/>
          <w14:textFill>
            <w14:solidFill>
              <w14:schemeClr w14:val="tx1"/>
            </w14:solidFill>
          </w14:textFill>
        </w:rPr>
        <w:t>-1、法定代表人授权书</w:t>
      </w: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bookmarkEnd w:id="24"/>
      <w:bookmarkEnd w:id="25"/>
    </w:p>
    <w:p w14:paraId="2E15A429">
      <w:pPr>
        <w:pStyle w:val="7"/>
        <w:spacing w:before="201"/>
        <w:ind w:right="390"/>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cs="宋体"/>
          <w:i w:val="0"/>
          <w:iCs w:val="0"/>
          <w:color w:val="000000" w:themeColor="text1"/>
          <w:kern w:val="0"/>
          <w:sz w:val="24"/>
          <w:szCs w:val="24"/>
          <w:highlight w:val="none"/>
          <w:lang w:val="en-US" w:eastAsia="zh-CN" w:bidi="ar"/>
          <w14:textFill>
            <w14:solidFill>
              <w14:schemeClr w14:val="tx1"/>
            </w14:solidFill>
          </w14:textFill>
        </w:rPr>
        <w:t>上饶市城投工程管理咨询有限公司：</w:t>
      </w:r>
    </w:p>
    <w:p w14:paraId="1A6980AA">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w:t>
      </w:r>
      <w:r>
        <w:rPr>
          <w:rFonts w:hint="eastAsia" w:ascii="宋体" w:hAnsi="宋体" w:eastAsia="宋体" w:cs="宋体"/>
          <w:i w:val="0"/>
          <w:iCs w:val="0"/>
          <w:color w:val="000000" w:themeColor="text1"/>
          <w:kern w:val="0"/>
          <w:sz w:val="24"/>
          <w:szCs w:val="24"/>
          <w:highlight w:val="none"/>
          <w14:textFill>
            <w14:solidFill>
              <w14:schemeClr w14:val="tx1"/>
            </w14:solidFill>
          </w14:textFill>
        </w:rPr>
        <w:t>人</w:t>
      </w:r>
      <w:r>
        <w:rPr>
          <w:rFonts w:hint="eastAsia" w:ascii="宋体" w:hAnsi="宋体" w:eastAsia="宋体" w:cs="宋体"/>
          <w:i w:val="0"/>
          <w:iCs w:val="0"/>
          <w:color w:val="000000" w:themeColor="text1"/>
          <w:kern w:val="0"/>
          <w:sz w:val="24"/>
          <w:szCs w:val="24"/>
          <w:highlight w:val="none"/>
          <w:u w:val="single"/>
          <w14:textFill>
            <w14:solidFill>
              <w14:schemeClr w14:val="tx1"/>
            </w14:solidFill>
          </w14:textFill>
        </w:rPr>
        <w:t>（姓名、职务）</w:t>
      </w:r>
      <w:r>
        <w:rPr>
          <w:rFonts w:hint="eastAsia" w:ascii="宋体" w:hAnsi="宋体" w:eastAsia="宋体" w:cs="宋体"/>
          <w:i w:val="0"/>
          <w:iCs w:val="0"/>
          <w:color w:val="000000" w:themeColor="text1"/>
          <w:kern w:val="0"/>
          <w:sz w:val="24"/>
          <w:szCs w:val="24"/>
          <w:highlight w:val="none"/>
          <w14:textFill>
            <w14:solidFill>
              <w14:schemeClr w14:val="tx1"/>
            </w14:solidFill>
          </w14:textFill>
        </w:rPr>
        <w:t>系</w:t>
      </w:r>
      <w:r>
        <w:rPr>
          <w:rFonts w:hint="eastAsia" w:ascii="宋体" w:hAnsi="宋体" w:eastAsia="宋体" w:cs="宋体"/>
          <w:i w:val="0"/>
          <w:iCs w:val="0"/>
          <w:color w:val="000000" w:themeColor="text1"/>
          <w:kern w:val="0"/>
          <w:sz w:val="24"/>
          <w:szCs w:val="24"/>
          <w:highlight w:val="none"/>
          <w:u w:val="single"/>
          <w14:textFill>
            <w14:solidFill>
              <w14:schemeClr w14:val="tx1"/>
            </w14:solidFill>
          </w14:textFill>
        </w:rPr>
        <w:t>（</w:t>
      </w:r>
      <w:r>
        <w:rPr>
          <w:rFonts w:hint="eastAsia" w:ascii="宋体" w:hAnsi="宋体" w:eastAsia="宋体" w:cs="宋体"/>
          <w:i w:val="0"/>
          <w:iCs w:val="0"/>
          <w:color w:val="000000" w:themeColor="text1"/>
          <w:sz w:val="24"/>
          <w:szCs w:val="24"/>
          <w:highlight w:val="none"/>
          <w:u w:val="single"/>
          <w:lang w:eastAsia="zh-CN"/>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u w:val="single"/>
          <w14:textFill>
            <w14:solidFill>
              <w14:schemeClr w14:val="tx1"/>
            </w14:solidFill>
          </w14:textFill>
        </w:rPr>
        <w:t>名称）</w:t>
      </w:r>
      <w:r>
        <w:rPr>
          <w:rFonts w:hint="eastAsia" w:ascii="宋体" w:hAnsi="宋体" w:eastAsia="宋体" w:cs="宋体"/>
          <w:i w:val="0"/>
          <w:iCs w:val="0"/>
          <w:color w:val="000000" w:themeColor="text1"/>
          <w:kern w:val="0"/>
          <w:sz w:val="24"/>
          <w:szCs w:val="24"/>
          <w:highlight w:val="none"/>
          <w14:textFill>
            <w14:solidFill>
              <w14:schemeClr w14:val="tx1"/>
            </w14:solidFill>
          </w14:textFill>
        </w:rPr>
        <w:t>的法定代表人，现授权</w:t>
      </w:r>
      <w:r>
        <w:rPr>
          <w:rFonts w:hint="eastAsia" w:ascii="宋体" w:hAnsi="宋体" w:eastAsia="宋体" w:cs="宋体"/>
          <w:i w:val="0"/>
          <w:iCs w:val="0"/>
          <w:color w:val="000000" w:themeColor="text1"/>
          <w:kern w:val="0"/>
          <w:sz w:val="24"/>
          <w:szCs w:val="24"/>
          <w:highlight w:val="none"/>
          <w:u w:val="single"/>
          <w14:textFill>
            <w14:solidFill>
              <w14:schemeClr w14:val="tx1"/>
            </w14:solidFill>
          </w14:textFill>
        </w:rPr>
        <w:t>（姓名、职务）</w:t>
      </w:r>
      <w:r>
        <w:rPr>
          <w:rFonts w:hint="eastAsia" w:ascii="宋体" w:hAnsi="宋体" w:eastAsia="宋体" w:cs="宋体"/>
          <w:i w:val="0"/>
          <w:iCs w:val="0"/>
          <w:color w:val="000000" w:themeColor="text1"/>
          <w:kern w:val="0"/>
          <w:sz w:val="24"/>
          <w:szCs w:val="24"/>
          <w:highlight w:val="none"/>
          <w14:textFill>
            <w14:solidFill>
              <w14:schemeClr w14:val="tx1"/>
            </w14:solidFill>
          </w14:textFill>
        </w:rPr>
        <w:t>为我方代理人。代理人根据授权，以我方名义签署、澄清、说明、补正、递交、撤回、修改</w:t>
      </w:r>
      <w:r>
        <w:rPr>
          <w:rFonts w:hint="eastAsia" w:ascii="宋体" w:hAnsi="宋体" w:eastAsia="宋体" w:cs="宋体"/>
          <w:i w:val="0"/>
          <w:iCs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single"/>
          <w:lang w:eastAsia="zh-CN"/>
          <w14:textFill>
            <w14:solidFill>
              <w14:schemeClr w14:val="tx1"/>
            </w14:solidFill>
          </w14:textFill>
        </w:rPr>
        <w:t>（项目名称）（项目编号）</w:t>
      </w:r>
      <w:r>
        <w:rPr>
          <w:rFonts w:hint="eastAsia" w:ascii="宋体" w:hAnsi="宋体" w:eastAsia="宋体" w:cs="宋体"/>
          <w:i w:val="0"/>
          <w:iCs w:val="0"/>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投标文件、签订合同和处理有关事宜，其法律后果由我方承担。</w:t>
      </w:r>
    </w:p>
    <w:p w14:paraId="53F08220">
      <w:pPr>
        <w:autoSpaceDE w:val="0"/>
        <w:autoSpaceDN w:val="0"/>
        <w:adjustRightInd w:val="0"/>
        <w:snapToGrid w:val="0"/>
        <w:spacing w:line="360" w:lineRule="auto"/>
        <w:ind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委托期限：</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年</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月</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日起至</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年</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日止 。</w:t>
      </w:r>
    </w:p>
    <w:p w14:paraId="69291EE9">
      <w:pPr>
        <w:adjustRightInd w:val="0"/>
        <w:snapToGrid w:val="0"/>
        <w:spacing w:line="360" w:lineRule="auto"/>
        <w:ind w:firstLine="435"/>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代理人无转委托权。</w:t>
      </w:r>
    </w:p>
    <w:p w14:paraId="5B9710DE">
      <w:pPr>
        <w:adjustRightInd w:val="0"/>
        <w:snapToGrid w:val="0"/>
        <w:spacing w:line="360" w:lineRule="auto"/>
        <w:ind w:firstLine="435"/>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本授权书于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日签字</w:t>
      </w:r>
      <w:r>
        <w:rPr>
          <w:rFonts w:hint="eastAsia" w:ascii="宋体" w:hAnsi="宋体" w:eastAsia="宋体" w:cs="宋体"/>
          <w:color w:val="000000" w:themeColor="text1"/>
          <w:sz w:val="24"/>
          <w:szCs w:val="24"/>
          <w:highlight w:val="none"/>
          <w:lang w:val="en-US" w:eastAsia="zh-CN"/>
          <w14:textFill>
            <w14:solidFill>
              <w14:schemeClr w14:val="tx1"/>
            </w14:solidFill>
          </w14:textFill>
        </w:rPr>
        <w:t>或盖章</w:t>
      </w:r>
      <w:r>
        <w:rPr>
          <w:rFonts w:hint="eastAsia" w:ascii="宋体" w:hAnsi="宋体" w:eastAsia="宋体" w:cs="宋体"/>
          <w:color w:val="000000" w:themeColor="text1"/>
          <w:sz w:val="24"/>
          <w:szCs w:val="24"/>
          <w:highlight w:val="none"/>
          <w14:textFill>
            <w14:solidFill>
              <w14:schemeClr w14:val="tx1"/>
            </w14:solidFill>
          </w14:textFill>
        </w:rPr>
        <w:t>生效，特此声明。</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9"/>
      </w:tblGrid>
      <w:tr w14:paraId="4BC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trPr>
        <w:tc>
          <w:tcPr>
            <w:tcW w:w="9859" w:type="dxa"/>
            <w:noWrap w:val="0"/>
            <w:vAlign w:val="top"/>
          </w:tcPr>
          <w:p w14:paraId="124436D1">
            <w:pPr>
              <w:pStyle w:val="7"/>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粘贴法定代表</w:t>
            </w:r>
            <w:r>
              <w:rPr>
                <w:rFonts w:hint="eastAsia" w:ascii="宋体" w:hAnsi="宋体" w:eastAsia="宋体" w:cs="宋体"/>
                <w:color w:val="000000" w:themeColor="text1"/>
                <w:sz w:val="24"/>
                <w:szCs w:val="24"/>
                <w:highlight w:val="none"/>
                <w14:textFill>
                  <w14:solidFill>
                    <w14:schemeClr w14:val="tx1"/>
                  </w14:solidFill>
                </w14:textFill>
              </w:rPr>
              <w:t>人身份证（正面、反面）复印件</w:t>
            </w:r>
          </w:p>
          <w:p w14:paraId="7CF69103">
            <w:pPr>
              <w:rPr>
                <w:rFonts w:hint="eastAsia"/>
                <w:color w:val="000000" w:themeColor="text1"/>
                <w:highlight w:val="none"/>
                <w:lang w:eastAsia="zh-CN"/>
                <w14:textFill>
                  <w14:solidFill>
                    <w14:schemeClr w14:val="tx1"/>
                  </w14:solidFill>
                </w14:textFill>
              </w:rPr>
            </w:pPr>
          </w:p>
        </w:tc>
      </w:tr>
      <w:tr w14:paraId="05A5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3" w:hRule="atLeast"/>
        </w:trPr>
        <w:tc>
          <w:tcPr>
            <w:tcW w:w="9859" w:type="dxa"/>
            <w:noWrap w:val="0"/>
            <w:vAlign w:val="top"/>
          </w:tcPr>
          <w:p w14:paraId="38B91644">
            <w:pPr>
              <w:pStyle w:val="7"/>
              <w:spacing w:line="360" w:lineRule="auto"/>
              <w:rPr>
                <w:rFonts w:hint="eastAsia" w:ascii="宋体" w:hAnsi="宋体" w:eastAsia="宋体" w:cs="宋体"/>
                <w:i w:val="0"/>
                <w:iCs w:val="0"/>
                <w:color w:val="000000" w:themeColor="text1"/>
                <w:kern w:val="0"/>
                <w:sz w:val="84"/>
                <w:szCs w:val="84"/>
                <w:highlight w:val="none"/>
                <w:vertAlign w:val="baseline"/>
                <w:lang w:eastAsia="zh-CN" w:bidi="ar"/>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粘贴</w:t>
            </w:r>
            <w:r>
              <w:rPr>
                <w:rFonts w:hint="eastAsia" w:ascii="宋体" w:hAnsi="宋体" w:eastAsia="宋体" w:cs="宋体"/>
                <w:color w:val="000000" w:themeColor="text1"/>
                <w:sz w:val="24"/>
                <w:szCs w:val="24"/>
                <w:highlight w:val="none"/>
                <w14:textFill>
                  <w14:solidFill>
                    <w14:schemeClr w14:val="tx1"/>
                  </w14:solidFill>
                </w14:textFill>
              </w:rPr>
              <w:t>委托代理人身份证（正面、反面）复印件</w:t>
            </w:r>
          </w:p>
        </w:tc>
      </w:tr>
    </w:tbl>
    <w:p w14:paraId="424D3D71">
      <w:pPr>
        <w:adjustRightInd w:val="0"/>
        <w:snapToGrid w:val="0"/>
        <w:spacing w:line="360" w:lineRule="auto"/>
        <w:ind w:firstLine="2880" w:firstLineChars="1200"/>
        <w:rPr>
          <w:rFonts w:hint="eastAsia" w:ascii="宋体" w:hAnsi="宋体" w:eastAsia="宋体" w:cs="宋体"/>
          <w:color w:val="000000" w:themeColor="text1"/>
          <w:sz w:val="24"/>
          <w:szCs w:val="24"/>
          <w:highlight w:val="none"/>
          <w:lang w:eastAsia="zh-CN"/>
          <w14:textFill>
            <w14:solidFill>
              <w14:schemeClr w14:val="tx1"/>
            </w14:solidFill>
          </w14:textFill>
        </w:rPr>
      </w:pPr>
    </w:p>
    <w:p w14:paraId="54DBFA68">
      <w:pPr>
        <w:adjustRightInd w:val="0"/>
        <w:snapToGrid w:val="0"/>
        <w:spacing w:line="360" w:lineRule="auto"/>
        <w:ind w:firstLine="2880" w:firstLineChars="1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名称（盖单位章）：</w:t>
      </w:r>
    </w:p>
    <w:p w14:paraId="65CAA0B2">
      <w:pPr>
        <w:adjustRightInd w:val="0"/>
        <w:snapToGrid w:val="0"/>
        <w:spacing w:line="360" w:lineRule="auto"/>
        <w:ind w:right="420" w:firstLine="2640" w:firstLineChars="1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法定代表人（签字</w:t>
      </w:r>
      <w:r>
        <w:rPr>
          <w:rFonts w:hint="eastAsia" w:ascii="宋体" w:hAnsi="宋体" w:eastAsia="宋体" w:cs="宋体"/>
          <w:color w:val="000000" w:themeColor="text1"/>
          <w:sz w:val="24"/>
          <w:szCs w:val="24"/>
          <w:highlight w:val="none"/>
          <w:lang w:val="en-US" w:eastAsia="zh-CN"/>
          <w14:textFill>
            <w14:solidFill>
              <w14:schemeClr w14:val="tx1"/>
            </w14:solidFill>
          </w14:textFill>
        </w:rPr>
        <w:t>或盖章</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none"/>
          <w14:textFill>
            <w14:solidFill>
              <w14:schemeClr w14:val="tx1"/>
            </w14:solidFill>
          </w14:textFill>
        </w:rPr>
        <w:t xml:space="preserve">                     </w:t>
      </w:r>
    </w:p>
    <w:p w14:paraId="766357E3">
      <w:pPr>
        <w:adjustRightInd w:val="0"/>
        <w:snapToGrid w:val="0"/>
        <w:spacing w:line="360" w:lineRule="auto"/>
        <w:ind w:right="420" w:firstLine="3360" w:firstLineChars="1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委托代理人（签字）：</w:t>
      </w:r>
      <w:r>
        <w:rPr>
          <w:rFonts w:hint="eastAsia" w:ascii="宋体" w:hAnsi="宋体" w:eastAsia="宋体" w:cs="宋体"/>
          <w:color w:val="000000" w:themeColor="text1"/>
          <w:sz w:val="24"/>
          <w:szCs w:val="24"/>
          <w:highlight w:val="none"/>
          <w:u w:val="none"/>
          <w14:textFill>
            <w14:solidFill>
              <w14:schemeClr w14:val="tx1"/>
            </w14:solidFill>
          </w14:textFill>
        </w:rPr>
        <w:t xml:space="preserve">                     </w:t>
      </w:r>
    </w:p>
    <w:p w14:paraId="40550912">
      <w:pPr>
        <w:adjustRightInd w:val="0"/>
        <w:snapToGrid w:val="0"/>
        <w:spacing w:line="360" w:lineRule="auto"/>
        <w:ind w:firstLine="5040" w:firstLineChars="21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日期：</w:t>
      </w:r>
      <w:r>
        <w:rPr>
          <w:rFonts w:hint="eastAsia" w:ascii="宋体" w:hAnsi="宋体" w:eastAsia="宋体"/>
          <w:color w:val="000000" w:themeColor="text1"/>
          <w:sz w:val="24"/>
          <w:szCs w:val="24"/>
          <w:highlight w:val="none"/>
          <w:u w:val="single"/>
          <w14:textFill>
            <w14:solidFill>
              <w14:schemeClr w14:val="tx1"/>
            </w14:solidFill>
          </w14:textFill>
        </w:rPr>
        <w:t xml:space="preserve">          </w:t>
      </w:r>
      <w:r>
        <w:rPr>
          <w:rFonts w:hint="eastAsia" w:ascii="宋体" w:hAnsi="宋体" w:eastAsia="宋体"/>
          <w:color w:val="000000" w:themeColor="text1"/>
          <w:sz w:val="24"/>
          <w:szCs w:val="24"/>
          <w:highlight w:val="none"/>
          <w14:textFill>
            <w14:solidFill>
              <w14:schemeClr w14:val="tx1"/>
            </w14:solidFill>
          </w14:textFill>
        </w:rPr>
        <w:t>年</w:t>
      </w:r>
      <w:r>
        <w:rPr>
          <w:rFonts w:hint="eastAsia" w:ascii="宋体" w:hAnsi="宋体" w:eastAsia="宋体"/>
          <w:color w:val="000000" w:themeColor="text1"/>
          <w:sz w:val="24"/>
          <w:szCs w:val="24"/>
          <w:highlight w:val="none"/>
          <w:u w:val="single"/>
          <w14:textFill>
            <w14:solidFill>
              <w14:schemeClr w14:val="tx1"/>
            </w14:solidFill>
          </w14:textFill>
        </w:rPr>
        <w:t xml:space="preserve">        </w:t>
      </w:r>
      <w:r>
        <w:rPr>
          <w:rFonts w:hint="eastAsia" w:ascii="宋体" w:hAnsi="宋体" w:eastAsia="宋体"/>
          <w:color w:val="000000" w:themeColor="text1"/>
          <w:sz w:val="24"/>
          <w:szCs w:val="24"/>
          <w:highlight w:val="none"/>
          <w14:textFill>
            <w14:solidFill>
              <w14:schemeClr w14:val="tx1"/>
            </w14:solidFill>
          </w14:textFill>
        </w:rPr>
        <w:t>月</w:t>
      </w:r>
      <w:r>
        <w:rPr>
          <w:rFonts w:hint="eastAsia" w:ascii="宋体" w:hAnsi="宋体" w:eastAsia="宋体"/>
          <w:color w:val="000000" w:themeColor="text1"/>
          <w:sz w:val="24"/>
          <w:szCs w:val="24"/>
          <w:highlight w:val="none"/>
          <w:u w:val="single"/>
          <w14:textFill>
            <w14:solidFill>
              <w14:schemeClr w14:val="tx1"/>
            </w14:solidFill>
          </w14:textFill>
        </w:rPr>
        <w:t xml:space="preserve">     </w:t>
      </w:r>
      <w:r>
        <w:rPr>
          <w:rFonts w:hint="eastAsia" w:ascii="宋体" w:hAnsi="宋体" w:eastAsia="宋体"/>
          <w:color w:val="000000" w:themeColor="text1"/>
          <w:sz w:val="24"/>
          <w:szCs w:val="24"/>
          <w:highlight w:val="none"/>
          <w14:textFill>
            <w14:solidFill>
              <w14:schemeClr w14:val="tx1"/>
            </w14:solidFill>
          </w14:textFill>
        </w:rPr>
        <w:t>日</w:t>
      </w:r>
    </w:p>
    <w:p w14:paraId="44C093EF">
      <w:pPr>
        <w:pStyle w:val="16"/>
        <w:widowControl/>
        <w:spacing w:before="372" w:line="360" w:lineRule="auto"/>
        <w:ind w:firstLine="240"/>
        <w:jc w:val="center"/>
        <w:outlineLvl w:val="0"/>
        <w:rPr>
          <w:rFonts w:hint="eastAsia" w:ascii="宋体" w:hAnsi="宋体" w:cs="宋体"/>
          <w:b/>
          <w:bCs/>
          <w:color w:val="000000" w:themeColor="text1"/>
          <w:kern w:val="2"/>
          <w:sz w:val="30"/>
          <w:szCs w:val="30"/>
          <w:highlight w:val="none"/>
          <w:lang w:bidi="zh-CN"/>
          <w14:textFill>
            <w14:solidFill>
              <w14:schemeClr w14:val="tx1"/>
            </w14:solidFill>
          </w14:textFill>
        </w:rPr>
      </w:pPr>
      <w:bookmarkStart w:id="26" w:name="_Toc29193"/>
      <w:bookmarkStart w:id="27" w:name="_Toc27515"/>
      <w:r>
        <w:rPr>
          <w:rFonts w:hint="eastAsia" w:ascii="宋体" w:hAnsi="宋体" w:cs="宋体"/>
          <w:b/>
          <w:bCs/>
          <w:color w:val="000000" w:themeColor="text1"/>
          <w:kern w:val="2"/>
          <w:sz w:val="30"/>
          <w:szCs w:val="30"/>
          <w:highlight w:val="none"/>
          <w:lang w:val="en-US" w:bidi="zh-CN"/>
          <w14:textFill>
            <w14:solidFill>
              <w14:schemeClr w14:val="tx1"/>
            </w14:solidFill>
          </w14:textFill>
        </w:rPr>
        <w:t>6</w:t>
      </w:r>
      <w:r>
        <w:rPr>
          <w:rFonts w:hint="eastAsia" w:ascii="宋体" w:hAnsi="宋体" w:cs="宋体"/>
          <w:b/>
          <w:bCs/>
          <w:color w:val="000000" w:themeColor="text1"/>
          <w:kern w:val="2"/>
          <w:sz w:val="30"/>
          <w:szCs w:val="30"/>
          <w:highlight w:val="none"/>
          <w:lang w:bidi="zh-CN"/>
          <w14:textFill>
            <w14:solidFill>
              <w14:schemeClr w14:val="tx1"/>
            </w14:solidFill>
          </w14:textFill>
        </w:rPr>
        <w:t>-2、法定代表人身份证明书</w:t>
      </w:r>
      <w:bookmarkEnd w:id="26"/>
    </w:p>
    <w:p w14:paraId="36FF63EE">
      <w:pPr>
        <w:pStyle w:val="16"/>
        <w:widowControl/>
        <w:spacing w:before="372" w:line="360" w:lineRule="auto"/>
        <w:ind w:firstLine="240"/>
        <w:jc w:val="center"/>
        <w:outlineLvl w:val="0"/>
        <w:rPr>
          <w:rFonts w:hint="eastAsia" w:ascii="宋体" w:hAnsi="宋体" w:cs="宋体"/>
          <w:b/>
          <w:bCs/>
          <w:color w:val="000000" w:themeColor="text1"/>
          <w:kern w:val="2"/>
          <w:sz w:val="30"/>
          <w:szCs w:val="30"/>
          <w:highlight w:val="none"/>
          <w:lang w:bidi="zh-CN"/>
          <w14:textFill>
            <w14:solidFill>
              <w14:schemeClr w14:val="tx1"/>
            </w14:solidFill>
          </w14:textFill>
        </w:rPr>
      </w:pPr>
      <w:bookmarkStart w:id="28" w:name="_Toc31445"/>
      <w:r>
        <w:rPr>
          <w:rFonts w:hint="eastAsia" w:ascii="宋体" w:hAnsi="宋体" w:cs="宋体"/>
          <w:color w:val="000000" w:themeColor="text1"/>
          <w:szCs w:val="24"/>
          <w:highlight w:val="none"/>
          <w:lang w:val="zh-CN" w:bidi="ar"/>
          <w14:textFill>
            <w14:solidFill>
              <w14:schemeClr w14:val="tx1"/>
            </w14:solidFill>
          </w14:textFill>
        </w:rPr>
        <w:t>（格式供参考）</w:t>
      </w:r>
      <w:bookmarkEnd w:id="28"/>
    </w:p>
    <w:p w14:paraId="155D5BAC">
      <w:pPr>
        <w:pStyle w:val="7"/>
        <w:autoSpaceDE w:val="0"/>
        <w:autoSpaceDN w:val="0"/>
        <w:adjustRightInd w:val="0"/>
        <w:snapToGrid w:val="0"/>
        <w:spacing w:before="201" w:line="360" w:lineRule="auto"/>
        <w:ind w:right="390"/>
        <w:jc w:val="left"/>
        <w:outlineLvl w:val="0"/>
        <w:rPr>
          <w:rFonts w:hint="eastAsia"/>
          <w:color w:val="000000" w:themeColor="text1"/>
          <w:kern w:val="0"/>
          <w:highlight w:val="none"/>
          <w:lang w:val="en-US" w:bidi="ar"/>
          <w14:textFill>
            <w14:solidFill>
              <w14:schemeClr w14:val="tx1"/>
            </w14:solidFill>
          </w14:textFill>
        </w:rPr>
      </w:pPr>
      <w:bookmarkStart w:id="29" w:name="_Toc2167"/>
      <w:r>
        <w:rPr>
          <w:rFonts w:hint="eastAsia"/>
          <w:color w:val="000000" w:themeColor="text1"/>
          <w:kern w:val="0"/>
          <w:highlight w:val="none"/>
          <w:lang w:val="en-US" w:bidi="ar"/>
          <w14:textFill>
            <w14:solidFill>
              <w14:schemeClr w14:val="tx1"/>
            </w14:solidFill>
          </w14:textFill>
        </w:rPr>
        <w:t>上饶市城投工程管理咨询有限公司：</w:t>
      </w:r>
      <w:bookmarkEnd w:id="29"/>
    </w:p>
    <w:p w14:paraId="4456A193">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r>
        <w:rPr>
          <w:rFonts w:hint="eastAsia"/>
          <w:color w:val="000000" w:themeColor="text1"/>
          <w:kern w:val="0"/>
          <w:highlight w:val="none"/>
          <w:u w:val="single"/>
          <w:lang w:val="en-US" w:bidi="ar"/>
          <w14:textFill>
            <w14:solidFill>
              <w14:schemeClr w14:val="tx1"/>
            </w14:solidFill>
          </w14:textFill>
        </w:rPr>
        <w:t xml:space="preserve">         </w:t>
      </w:r>
      <w:bookmarkStart w:id="30" w:name="_Toc7860"/>
      <w:r>
        <w:rPr>
          <w:rFonts w:hint="eastAsia"/>
          <w:color w:val="000000" w:themeColor="text1"/>
          <w:kern w:val="0"/>
          <w:highlight w:val="none"/>
          <w:lang w:val="en-US" w:bidi="ar"/>
          <w14:textFill>
            <w14:solidFill>
              <w14:schemeClr w14:val="tx1"/>
            </w14:solidFill>
          </w14:textFill>
        </w:rPr>
        <w:t>同志，在我单位任</w:t>
      </w:r>
      <w:r>
        <w:rPr>
          <w:rFonts w:hint="eastAsia"/>
          <w:color w:val="000000" w:themeColor="text1"/>
          <w:kern w:val="0"/>
          <w:highlight w:val="none"/>
          <w:u w:val="single"/>
          <w:lang w:val="en-US" w:bidi="ar"/>
          <w14:textFill>
            <w14:solidFill>
              <w14:schemeClr w14:val="tx1"/>
            </w14:solidFill>
          </w14:textFill>
        </w:rPr>
        <w:t xml:space="preserve">        </w:t>
      </w:r>
      <w:r>
        <w:rPr>
          <w:rFonts w:hint="eastAsia"/>
          <w:color w:val="000000" w:themeColor="text1"/>
          <w:kern w:val="0"/>
          <w:highlight w:val="none"/>
          <w:lang w:val="en-US" w:bidi="ar"/>
          <w14:textFill>
            <w14:solidFill>
              <w14:schemeClr w14:val="tx1"/>
            </w14:solidFill>
          </w14:textFill>
        </w:rPr>
        <w:t>职务，是我单位的法定代表人，特此证明。</w:t>
      </w:r>
      <w:bookmarkEnd w:id="30"/>
    </w:p>
    <w:tbl>
      <w:tblPr>
        <w:tblStyle w:val="19"/>
        <w:tblpPr w:leftFromText="180" w:rightFromText="180" w:vertAnchor="text" w:horzAnchor="page" w:tblpX="1616" w:tblpY="11"/>
        <w:tblW w:w="85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40"/>
      </w:tblGrid>
      <w:tr w14:paraId="79CB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1" w:hRule="atLeast"/>
        </w:trPr>
        <w:tc>
          <w:tcPr>
            <w:tcW w:w="8540" w:type="dxa"/>
            <w:noWrap w:val="0"/>
            <w:vAlign w:val="center"/>
          </w:tcPr>
          <w:p w14:paraId="2FC68E13">
            <w:pPr>
              <w:adjustRightInd w:val="0"/>
              <w:snapToGrid w:val="0"/>
              <w:spacing w:line="336" w:lineRule="auto"/>
              <w:ind w:firstLine="640"/>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szCs w:val="28"/>
                <w:highlight w:val="none"/>
                <w14:textFill>
                  <w14:solidFill>
                    <w14:schemeClr w14:val="tx1"/>
                  </w14:solidFill>
                </w14:textFill>
              </w:rPr>
              <w:t>法定代表人</w:t>
            </w:r>
            <w:r>
              <w:rPr>
                <w:rFonts w:hint="eastAsia" w:ascii="宋体" w:hAnsi="宋体"/>
                <w:color w:val="000000" w:themeColor="text1"/>
                <w:sz w:val="24"/>
                <w:highlight w:val="none"/>
                <w14:textFill>
                  <w14:solidFill>
                    <w14:schemeClr w14:val="tx1"/>
                  </w14:solidFill>
                </w14:textFill>
              </w:rPr>
              <w:t>身份证复印件粘贴处</w:t>
            </w:r>
          </w:p>
        </w:tc>
      </w:tr>
    </w:tbl>
    <w:p w14:paraId="286D64B7">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1E4EE895">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1DCFA823">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14A35310">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014D9C80">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00106CB9">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1D567826">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55D69CED">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325241CF">
      <w:pPr>
        <w:rPr>
          <w:rFonts w:hint="eastAsia"/>
          <w:color w:val="000000" w:themeColor="text1"/>
          <w:kern w:val="0"/>
          <w:highlight w:val="none"/>
          <w:lang w:val="en-US" w:bidi="ar"/>
          <w14:textFill>
            <w14:solidFill>
              <w14:schemeClr w14:val="tx1"/>
            </w14:solidFill>
          </w14:textFill>
        </w:rPr>
      </w:pPr>
    </w:p>
    <w:p w14:paraId="1310F024">
      <w:pPr>
        <w:pStyle w:val="13"/>
        <w:rPr>
          <w:rFonts w:hint="eastAsia"/>
          <w:color w:val="000000" w:themeColor="text1"/>
          <w:kern w:val="0"/>
          <w:highlight w:val="none"/>
          <w:lang w:val="en-US" w:bidi="ar"/>
          <w14:textFill>
            <w14:solidFill>
              <w14:schemeClr w14:val="tx1"/>
            </w14:solidFill>
          </w14:textFill>
        </w:rPr>
      </w:pPr>
    </w:p>
    <w:p w14:paraId="058FB40E">
      <w:pPr>
        <w:rPr>
          <w:rFonts w:hint="eastAsia"/>
          <w:color w:val="000000" w:themeColor="text1"/>
          <w:highlight w:val="none"/>
          <w:lang w:val="en-US"/>
          <w14:textFill>
            <w14:solidFill>
              <w14:schemeClr w14:val="tx1"/>
            </w14:solidFill>
          </w14:textFill>
        </w:rPr>
      </w:pPr>
    </w:p>
    <w:p w14:paraId="482D2391">
      <w:pPr>
        <w:adjustRightInd w:val="0"/>
        <w:snapToGrid w:val="0"/>
        <w:spacing w:line="360" w:lineRule="auto"/>
        <w:ind w:firstLine="2880" w:firstLineChars="1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投标人名称（盖单位章）：</w:t>
      </w:r>
    </w:p>
    <w:p w14:paraId="447878BC">
      <w:pPr>
        <w:adjustRightInd w:val="0"/>
        <w:snapToGrid w:val="0"/>
        <w:spacing w:line="360" w:lineRule="auto"/>
        <w:ind w:right="420" w:firstLine="2640" w:firstLineChars="11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法定代表人（签字或盖章）：                     </w:t>
      </w:r>
    </w:p>
    <w:p w14:paraId="56E3ABC6">
      <w:pPr>
        <w:adjustRightInd w:val="0"/>
        <w:snapToGrid w:val="0"/>
        <w:spacing w:line="360" w:lineRule="auto"/>
        <w:ind w:right="420" w:firstLine="3360" w:firstLineChars="14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委托代理人（签字）：                     </w:t>
      </w:r>
    </w:p>
    <w:p w14:paraId="7A7D42EC">
      <w:pPr>
        <w:adjustRightInd w:val="0"/>
        <w:snapToGrid w:val="0"/>
        <w:spacing w:line="360" w:lineRule="auto"/>
        <w:ind w:firstLine="5040" w:firstLineChars="21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日期：</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14:paraId="7A1882CA">
      <w:pPr>
        <w:pStyle w:val="7"/>
        <w:autoSpaceDE w:val="0"/>
        <w:autoSpaceDN w:val="0"/>
        <w:adjustRightInd w:val="0"/>
        <w:snapToGrid w:val="0"/>
        <w:spacing w:before="201" w:line="360" w:lineRule="auto"/>
        <w:ind w:right="390" w:firstLine="480" w:firstLineChars="200"/>
        <w:jc w:val="left"/>
        <w:outlineLvl w:val="0"/>
        <w:rPr>
          <w:rFonts w:hint="eastAsia"/>
          <w:color w:val="000000" w:themeColor="text1"/>
          <w:kern w:val="0"/>
          <w:highlight w:val="none"/>
          <w:lang w:val="en-US" w:bidi="ar"/>
          <w14:textFill>
            <w14:solidFill>
              <w14:schemeClr w14:val="tx1"/>
            </w14:solidFill>
          </w14:textFill>
        </w:rPr>
      </w:pPr>
    </w:p>
    <w:p w14:paraId="657A4A34">
      <w:pPr>
        <w:pStyle w:val="16"/>
        <w:keepNext w:val="0"/>
        <w:keepLines w:val="0"/>
        <w:widowControl/>
        <w:suppressLineNumbers w:val="0"/>
        <w:spacing w:before="372" w:beforeAutospacing="0" w:after="0" w:afterAutospacing="0" w:line="360" w:lineRule="auto"/>
        <w:ind w:right="0"/>
        <w:jc w:val="center"/>
        <w:outlineLvl w:val="0"/>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3EF327AF">
      <w:pPr>
        <w:pStyle w:val="16"/>
        <w:keepNext w:val="0"/>
        <w:keepLines w:val="0"/>
        <w:widowControl/>
        <w:suppressLineNumbers w:val="0"/>
        <w:spacing w:before="372" w:beforeAutospacing="0" w:after="0" w:afterAutospacing="0" w:line="360" w:lineRule="auto"/>
        <w:ind w:right="0"/>
        <w:jc w:val="center"/>
        <w:outlineLvl w:val="0"/>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6A349859">
      <w:pPr>
        <w:pStyle w:val="16"/>
        <w:keepNext w:val="0"/>
        <w:keepLines w:val="0"/>
        <w:widowControl/>
        <w:suppressLineNumbers w:val="0"/>
        <w:spacing w:before="372" w:beforeAutospacing="0" w:after="0" w:afterAutospacing="0" w:line="360" w:lineRule="auto"/>
        <w:ind w:right="0"/>
        <w:jc w:val="center"/>
        <w:outlineLvl w:val="0"/>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3F803ECB">
      <w:pPr>
        <w:pStyle w:val="16"/>
        <w:keepNext w:val="0"/>
        <w:keepLines w:val="0"/>
        <w:widowControl/>
        <w:suppressLineNumbers w:val="0"/>
        <w:spacing w:before="372" w:beforeAutospacing="0" w:after="0" w:afterAutospacing="0" w:line="360" w:lineRule="auto"/>
        <w:ind w:right="0"/>
        <w:jc w:val="center"/>
        <w:outlineLvl w:val="0"/>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bookmarkStart w:id="31" w:name="_Toc14594"/>
      <w:r>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t>6-3</w:t>
      </w:r>
      <w: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t>、具备履行合同所必需的设备和专业技术能力的承诺函</w:t>
      </w:r>
      <w:bookmarkEnd w:id="31"/>
    </w:p>
    <w:p w14:paraId="148A34AF">
      <w:pPr>
        <w:pStyle w:val="16"/>
        <w:keepNext w:val="0"/>
        <w:keepLines w:val="0"/>
        <w:widowControl/>
        <w:suppressLineNumbers w:val="0"/>
        <w:spacing w:before="372" w:beforeAutospacing="0" w:after="0" w:afterAutospacing="0" w:line="360" w:lineRule="auto"/>
        <w:ind w:right="0"/>
        <w:jc w:val="center"/>
        <w:outlineLvl w:val="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bookmarkStart w:id="32" w:name="_Toc17338"/>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bookmarkEnd w:id="27"/>
      <w:bookmarkEnd w:id="32"/>
    </w:p>
    <w:p w14:paraId="76EC56B5">
      <w:pPr>
        <w:pStyle w:val="7"/>
        <w:spacing w:line="360" w:lineRule="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p>
    <w:p w14:paraId="79B4F6E9">
      <w:pPr>
        <w:pStyle w:val="7"/>
        <w:spacing w:line="360" w:lineRule="auto"/>
        <w:outlineLvl w:val="9"/>
        <w:rPr>
          <w:rFonts w:hint="eastAsia" w:ascii="宋体" w:hAnsi="宋体" w:eastAsia="宋体" w:cs="宋体"/>
          <w:i w:val="0"/>
          <w:iCs w:val="0"/>
          <w:color w:val="000000" w:themeColor="text1"/>
          <w:sz w:val="24"/>
          <w:szCs w:val="24"/>
          <w:highlight w:val="none"/>
          <w14:textFill>
            <w14:solidFill>
              <w14:schemeClr w14:val="tx1"/>
            </w14:solidFill>
          </w14:textFill>
        </w:rPr>
      </w:pPr>
    </w:p>
    <w:p w14:paraId="0EC31A30">
      <w:pPr>
        <w:pStyle w:val="7"/>
        <w:spacing w:before="201" w:line="360" w:lineRule="auto"/>
        <w:ind w:right="390" w:rightChars="0"/>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cs="宋体"/>
          <w:i w:val="0"/>
          <w:iCs w:val="0"/>
          <w:color w:val="000000" w:themeColor="text1"/>
          <w:kern w:val="0"/>
          <w:sz w:val="24"/>
          <w:szCs w:val="24"/>
          <w:highlight w:val="none"/>
          <w:lang w:val="en-US" w:eastAsia="zh-CN" w:bidi="ar"/>
          <w14:textFill>
            <w14:solidFill>
              <w14:schemeClr w14:val="tx1"/>
            </w14:solidFill>
          </w14:textFill>
        </w:rPr>
        <w:t>上饶市城投工程管理咨询有限公司：</w:t>
      </w:r>
    </w:p>
    <w:p w14:paraId="1BB3166B">
      <w:pPr>
        <w:pStyle w:val="7"/>
        <w:spacing w:before="201" w:line="360" w:lineRule="auto"/>
        <w:ind w:right="0" w:rightChars="0" w:firstLine="480" w:firstLineChars="200"/>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本公司（或单位）具备本项目履行合同所必需的设备和专业技术能力，特此承诺。</w:t>
      </w:r>
    </w:p>
    <w:p w14:paraId="190592F5">
      <w:pPr>
        <w:pStyle w:val="7"/>
        <w:spacing w:before="201" w:line="360" w:lineRule="auto"/>
        <w:ind w:right="390" w:rightChars="0"/>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p>
    <w:p w14:paraId="06338ECE">
      <w:pPr>
        <w:pStyle w:val="7"/>
        <w:spacing w:before="201" w:line="360" w:lineRule="auto"/>
        <w:ind w:right="390" w:rightChars="0"/>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p>
    <w:p w14:paraId="2404F8E5">
      <w:pPr>
        <w:rPr>
          <w:rFonts w:hint="eastAsia"/>
          <w:color w:val="000000" w:themeColor="text1"/>
          <w:highlight w:val="none"/>
          <w:lang w:val="en-US" w:eastAsia="zh-CN"/>
          <w14:textFill>
            <w14:solidFill>
              <w14:schemeClr w14:val="tx1"/>
            </w14:solidFill>
          </w14:textFill>
        </w:rPr>
      </w:pPr>
    </w:p>
    <w:p w14:paraId="72AACC16">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136EE36B">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530E2048">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5E8CA4BC">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402B63EE">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06966388">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6391079D">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053E5972">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7891CDDB">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3A518BA2">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2F6F5DAB">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pPr>
    </w:p>
    <w:p w14:paraId="59DA99BB">
      <w:pPr>
        <w:pStyle w:val="16"/>
        <w:keepNext w:val="0"/>
        <w:keepLines w:val="0"/>
        <w:widowControl/>
        <w:numPr>
          <w:ilvl w:val="0"/>
          <w:numId w:val="0"/>
        </w:numPr>
        <w:suppressLineNumbers w:val="0"/>
        <w:spacing w:before="372" w:beforeAutospacing="0" w:after="0" w:afterAutospacing="0" w:line="360" w:lineRule="auto"/>
        <w:ind w:left="0" w:leftChars="0" w:right="0" w:rightChars="0" w:firstLine="240" w:firstLineChars="0"/>
        <w:jc w:val="center"/>
        <w:outlineLvl w:val="0"/>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bookmarkStart w:id="33" w:name="_Toc5488"/>
      <w:bookmarkStart w:id="34" w:name="_Toc1177"/>
      <w:r>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t>6-4</w:t>
      </w:r>
      <w: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t>、参加</w:t>
      </w:r>
      <w:r>
        <w:rPr>
          <w:rFonts w:hint="eastAsia" w:ascii="宋体" w:hAnsi="宋体" w:eastAsia="宋体" w:cs="宋体"/>
          <w:b/>
          <w:bCs/>
          <w:i w:val="0"/>
          <w:iCs w:val="0"/>
          <w:color w:val="000000" w:themeColor="text1"/>
          <w:kern w:val="0"/>
          <w:sz w:val="30"/>
          <w:szCs w:val="30"/>
          <w:highlight w:val="none"/>
          <w:lang w:val="en-US" w:eastAsia="zh-CN" w:bidi="ar"/>
          <w14:textFill>
            <w14:solidFill>
              <w14:schemeClr w14:val="tx1"/>
            </w14:solidFill>
          </w14:textFill>
        </w:rPr>
        <w:t>招投活动</w:t>
      </w:r>
      <w: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t>前三年内,在经营活动中没有重大违法记录的</w:t>
      </w:r>
      <w:bookmarkEnd w:id="33"/>
      <w:bookmarkEnd w:id="34"/>
    </w:p>
    <w:p w14:paraId="468D7AA9">
      <w:pPr>
        <w:pStyle w:val="16"/>
        <w:keepNext w:val="0"/>
        <w:keepLines w:val="0"/>
        <w:widowControl/>
        <w:numPr>
          <w:ilvl w:val="0"/>
          <w:numId w:val="0"/>
        </w:numPr>
        <w:suppressLineNumbers w:val="0"/>
        <w:spacing w:before="372" w:beforeAutospacing="0" w:after="0" w:afterAutospacing="0" w:line="360" w:lineRule="auto"/>
        <w:ind w:left="0" w:leftChars="0" w:right="0" w:rightChars="0" w:firstLine="240" w:firstLineChars="0"/>
        <w:jc w:val="center"/>
        <w:outlineLvl w:val="0"/>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bookmarkStart w:id="35" w:name="_Toc5396"/>
      <w:bookmarkStart w:id="36" w:name="_Toc3491"/>
      <w: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t>承诺函</w:t>
      </w: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bookmarkEnd w:id="35"/>
      <w:bookmarkEnd w:id="36"/>
    </w:p>
    <w:p w14:paraId="61BBB4D0">
      <w:pPr>
        <w:pStyle w:val="7"/>
        <w:spacing w:before="201" w:line="360" w:lineRule="auto"/>
        <w:ind w:right="4321"/>
        <w:outlineLvl w:val="0"/>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bookmarkStart w:id="37" w:name="_Toc4802"/>
      <w:bookmarkStart w:id="38" w:name="_Toc18378"/>
      <w:r>
        <w:rPr>
          <w:rFonts w:hint="eastAsia" w:cs="宋体"/>
          <w:i w:val="0"/>
          <w:iCs w:val="0"/>
          <w:color w:val="000000" w:themeColor="text1"/>
          <w:kern w:val="0"/>
          <w:sz w:val="24"/>
          <w:szCs w:val="24"/>
          <w:highlight w:val="none"/>
          <w:lang w:val="en-US" w:eastAsia="zh-CN" w:bidi="ar"/>
          <w14:textFill>
            <w14:solidFill>
              <w14:schemeClr w14:val="tx1"/>
            </w14:solidFill>
          </w14:textFill>
        </w:rPr>
        <w:t>上饶市城投工程管理咨询有限公司</w:t>
      </w:r>
      <w:bookmarkEnd w:id="37"/>
      <w:r>
        <w:rPr>
          <w:rFonts w:hint="eastAsia" w:cs="宋体"/>
          <w:i w:val="0"/>
          <w:iCs w:val="0"/>
          <w:color w:val="000000" w:themeColor="text1"/>
          <w:kern w:val="0"/>
          <w:sz w:val="24"/>
          <w:szCs w:val="24"/>
          <w:highlight w:val="none"/>
          <w:lang w:val="en-US" w:eastAsia="zh-CN" w:bidi="ar"/>
          <w14:textFill>
            <w14:solidFill>
              <w14:schemeClr w14:val="tx1"/>
            </w14:solidFill>
          </w14:textFill>
        </w:rPr>
        <w:t>：</w:t>
      </w:r>
      <w:bookmarkEnd w:id="38"/>
    </w:p>
    <w:p w14:paraId="754283E3">
      <w:pPr>
        <w:pStyle w:val="7"/>
        <w:spacing w:before="201" w:line="360" w:lineRule="auto"/>
        <w:ind w:left="0" w:leftChars="0" w:right="0" w:rightChars="0" w:firstLine="360" w:firstLineChars="150"/>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t>本公司（或单位）在该项目响应文件递交截止日前三年内，在经营活动中没有重大违法记录，即没有因违法经营受到刑事处罚或者责令停产停业、吊销许可证或者执照、较大数额罚款等行政处罚，特此承诺。</w:t>
      </w:r>
    </w:p>
    <w:p w14:paraId="77DF609A">
      <w:pPr>
        <w:pStyle w:val="7"/>
        <w:spacing w:before="201" w:line="360" w:lineRule="auto"/>
        <w:ind w:right="390" w:rightChars="0"/>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p>
    <w:p w14:paraId="0B3E9782">
      <w:pP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p>
    <w:p w14:paraId="3E984922">
      <w:pPr>
        <w:pStyle w:val="13"/>
        <w:rPr>
          <w:rFonts w:hint="eastAsia"/>
          <w:color w:val="000000" w:themeColor="text1"/>
          <w:highlight w:val="none"/>
          <w:lang w:val="en-US" w:eastAsia="zh-CN"/>
          <w14:textFill>
            <w14:solidFill>
              <w14:schemeClr w14:val="tx1"/>
            </w14:solidFill>
          </w14:textFill>
        </w:rPr>
      </w:pPr>
    </w:p>
    <w:p w14:paraId="4EC76713">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7487AA57">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0D4828E3">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597499EC">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5FFC5814">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0AF9D62B">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527D1B9D">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3CF8F5EF">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42D16C76">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0B80DBC">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2A1C1AF2">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02B158C">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07E7AD83">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0F0999BE">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A287A65">
      <w:pPr>
        <w:pStyle w:val="38"/>
        <w:rPr>
          <w:rFonts w:hint="eastAsia"/>
          <w:color w:val="000000" w:themeColor="text1"/>
          <w:highlight w:val="none"/>
          <w:lang w:val="zh-CN" w:eastAsia="zh-CN"/>
          <w14:textFill>
            <w14:solidFill>
              <w14:schemeClr w14:val="tx1"/>
            </w14:solidFill>
          </w14:textFill>
        </w:rPr>
      </w:pPr>
    </w:p>
    <w:p w14:paraId="57AD42E3">
      <w:pPr>
        <w:kinsoku w:val="0"/>
        <w:overflowPunct w:val="0"/>
        <w:autoSpaceDE w:val="0"/>
        <w:autoSpaceDN w:val="0"/>
        <w:adjustRightInd w:val="0"/>
        <w:snapToGrid w:val="0"/>
        <w:spacing w:line="360" w:lineRule="auto"/>
        <w:jc w:val="cente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1D484945">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r>
        <w:rPr>
          <w:rFonts w:hint="eastAsia" w:ascii="宋体" w:hAnsi="宋体" w:cs="宋体"/>
          <w:b/>
          <w:bCs/>
          <w:i w:val="0"/>
          <w:iCs w:val="0"/>
          <w:color w:val="000000" w:themeColor="text1"/>
          <w:kern w:val="0"/>
          <w:sz w:val="30"/>
          <w:szCs w:val="30"/>
          <w:highlight w:val="none"/>
          <w:lang w:val="en-US" w:eastAsia="zh-CN" w:bidi="ar"/>
          <w14:textFill>
            <w14:solidFill>
              <w14:schemeClr w14:val="tx1"/>
            </w14:solidFill>
          </w14:textFill>
        </w:rPr>
        <w:t>6-5、</w:t>
      </w:r>
      <w:r>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t>本项目不接受联合体投标，且不允许转包、分包</w:t>
      </w:r>
      <w:r>
        <w:rPr>
          <w:rFonts w:hint="eastAsia" w:ascii="宋体" w:hAnsi="宋体" w:eastAsia="宋体" w:cs="宋体"/>
          <w:b/>
          <w:bCs/>
          <w:i w:val="0"/>
          <w:iCs w:val="0"/>
          <w:color w:val="000000" w:themeColor="text1"/>
          <w:kern w:val="0"/>
          <w:sz w:val="30"/>
          <w:szCs w:val="30"/>
          <w:highlight w:val="none"/>
          <w:lang w:val="en-US" w:eastAsia="zh-CN" w:bidi="ar"/>
          <w14:textFill>
            <w14:solidFill>
              <w14:schemeClr w14:val="tx1"/>
            </w14:solidFill>
          </w14:textFill>
        </w:rPr>
        <w:t>的承诺函</w:t>
      </w:r>
    </w:p>
    <w:p w14:paraId="1116008F">
      <w:pPr>
        <w:pStyle w:val="16"/>
        <w:keepNext w:val="0"/>
        <w:keepLines w:val="0"/>
        <w:widowControl/>
        <w:suppressLineNumbers w:val="0"/>
        <w:spacing w:before="372" w:beforeAutospacing="0" w:after="0" w:afterAutospacing="0" w:line="360" w:lineRule="auto"/>
        <w:ind w:left="0" w:right="0" w:firstLine="240"/>
        <w:jc w:val="center"/>
        <w:outlineLvl w:val="9"/>
        <w:rPr>
          <w:rFonts w:hint="eastAsia" w:ascii="宋体" w:hAnsi="宋体" w:eastAsia="宋体" w:cs="宋体"/>
          <w:b w:val="0"/>
          <w:bCs w:val="0"/>
          <w:i w:val="0"/>
          <w:iCs w:val="0"/>
          <w:color w:val="000000" w:themeColor="text1"/>
          <w:kern w:val="0"/>
          <w:sz w:val="30"/>
          <w:szCs w:val="30"/>
          <w:highlight w:val="none"/>
          <w:lang w:val="zh-CN"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2BB5E5C1">
      <w:pPr>
        <w:kinsoku w:val="0"/>
        <w:overflowPunct w:val="0"/>
        <w:autoSpaceDE w:val="0"/>
        <w:autoSpaceDN w:val="0"/>
        <w:adjustRightInd w:val="0"/>
        <w:snapToGrid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上饶市城投工程管理咨询有限公司：</w:t>
      </w:r>
    </w:p>
    <w:p w14:paraId="01538E70">
      <w:pPr>
        <w:kinsoku w:val="0"/>
        <w:overflowPunct w:val="0"/>
        <w:autoSpaceDE w:val="0"/>
        <w:autoSpaceDN w:val="0"/>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48B444CF">
      <w:pPr>
        <w:kinsoku w:val="0"/>
        <w:overflowPunct w:val="0"/>
        <w:autoSpaceDE w:val="0"/>
        <w:autoSpaceDN w:val="0"/>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本公司（或单位）为独立</w:t>
      </w:r>
      <w:r>
        <w:rPr>
          <w:rFonts w:hint="eastAsia" w:ascii="宋体"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，不存在联合体投标。如果此次中标，绝不会转包、分包。</w:t>
      </w:r>
    </w:p>
    <w:p w14:paraId="17952555">
      <w:pPr>
        <w:kinsoku w:val="0"/>
        <w:overflowPunct w:val="0"/>
        <w:autoSpaceDE w:val="0"/>
        <w:autoSpaceDN w:val="0"/>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w:t>
      </w:r>
      <w:r>
        <w:rPr>
          <w:rFonts w:hint="eastAsia" w:ascii="宋体" w:hAnsi="宋体" w:eastAsia="宋体" w:cs="宋体"/>
          <w:color w:val="000000" w:themeColor="text1"/>
          <w:sz w:val="24"/>
          <w:szCs w:val="24"/>
          <w:highlight w:val="none"/>
          <w:lang w:val="en-US" w:eastAsia="zh-CN"/>
          <w14:textFill>
            <w14:solidFill>
              <w14:schemeClr w14:val="tx1"/>
            </w14:solidFill>
          </w14:textFill>
        </w:rPr>
        <w:t>承诺</w:t>
      </w:r>
      <w:r>
        <w:rPr>
          <w:rFonts w:hint="eastAsia" w:ascii="宋体" w:hAnsi="宋体" w:eastAsia="宋体" w:cs="宋体"/>
          <w:color w:val="000000" w:themeColor="text1"/>
          <w:sz w:val="24"/>
          <w:szCs w:val="24"/>
          <w:highlight w:val="none"/>
          <w14:textFill>
            <w14:solidFill>
              <w14:schemeClr w14:val="tx1"/>
            </w14:solidFill>
          </w14:textFill>
        </w:rPr>
        <w:t>。</w:t>
      </w:r>
    </w:p>
    <w:p w14:paraId="1B4F8FE1">
      <w:pPr>
        <w:pStyle w:val="7"/>
        <w:spacing w:before="7" w:line="360" w:lineRule="auto"/>
        <w:outlineLvl w:val="9"/>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p>
    <w:p w14:paraId="65707C76">
      <w:pPr>
        <w:rPr>
          <w:rFonts w:hint="eastAsia" w:ascii="宋体" w:hAnsi="宋体" w:eastAsia="宋体" w:cs="宋体"/>
          <w:i w:val="0"/>
          <w:iCs w:val="0"/>
          <w:color w:val="000000" w:themeColor="text1"/>
          <w:kern w:val="0"/>
          <w:sz w:val="24"/>
          <w:szCs w:val="24"/>
          <w:highlight w:val="none"/>
          <w:lang w:val="en-US" w:eastAsia="zh-CN" w:bidi="ar"/>
          <w14:textFill>
            <w14:solidFill>
              <w14:schemeClr w14:val="tx1"/>
            </w14:solidFill>
          </w14:textFill>
        </w:rPr>
      </w:pPr>
    </w:p>
    <w:p w14:paraId="294F6CEF">
      <w:pPr>
        <w:pStyle w:val="13"/>
        <w:rPr>
          <w:rFonts w:hint="eastAsia"/>
          <w:color w:val="000000" w:themeColor="text1"/>
          <w:highlight w:val="none"/>
          <w:lang w:val="en-US" w:eastAsia="zh-CN"/>
          <w14:textFill>
            <w14:solidFill>
              <w14:schemeClr w14:val="tx1"/>
            </w14:solidFill>
          </w14:textFill>
        </w:rPr>
      </w:pPr>
    </w:p>
    <w:p w14:paraId="5E328BF8">
      <w:pPr>
        <w:pStyle w:val="7"/>
        <w:spacing w:line="360" w:lineRule="auto"/>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                    </w:t>
      </w:r>
      <w:r>
        <w:rPr>
          <w:rFonts w:hint="eastAsia" w:cs="宋体"/>
          <w:i w:val="0"/>
          <w:iCs w:val="0"/>
          <w:color w:val="000000" w:themeColor="text1"/>
          <w:kern w:val="0"/>
          <w:sz w:val="24"/>
          <w:szCs w:val="24"/>
          <w:highlight w:val="none"/>
          <w:lang w:eastAsia="zh-CN" w:bidi="ar"/>
          <w14:textFill>
            <w14:solidFill>
              <w14:schemeClr w14:val="tx1"/>
            </w14:solidFill>
          </w14:textFill>
        </w:rPr>
        <w:t>投标人</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名称（盖单位章）：                       </w:t>
      </w:r>
    </w:p>
    <w:p w14:paraId="6347FBC5">
      <w:pPr>
        <w:pStyle w:val="7"/>
        <w:spacing w:line="360" w:lineRule="auto"/>
        <w:ind w:firstLine="240" w:firstLineChars="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 xml:space="preserve">法定代表人或其授权的代理人（签字或盖章）：               </w:t>
      </w:r>
    </w:p>
    <w:p w14:paraId="199D1545">
      <w:pPr>
        <w:pStyle w:val="7"/>
        <w:spacing w:line="360" w:lineRule="auto"/>
        <w:ind w:firstLine="5040" w:firstLineChars="2100"/>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日期：</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年</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月</w:t>
      </w:r>
      <w:r>
        <w:rPr>
          <w:rFonts w:hint="eastAsia" w:ascii="宋体" w:hAnsi="宋体" w:eastAsia="宋体" w:cs="宋体"/>
          <w:i w:val="0"/>
          <w:iCs w:val="0"/>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lang w:bidi="ar"/>
          <w14:textFill>
            <w14:solidFill>
              <w14:schemeClr w14:val="tx1"/>
            </w14:solidFill>
          </w14:textFill>
        </w:rPr>
        <w:t>日</w:t>
      </w:r>
    </w:p>
    <w:p w14:paraId="7839FC11">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EE83968">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3C43FD1">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9B1235E">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3DDFFDDA">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7B613DE">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0B93753">
      <w:pPr>
        <w:pStyle w:val="16"/>
        <w:keepNext w:val="0"/>
        <w:keepLines w:val="0"/>
        <w:widowControl/>
        <w:suppressLineNumbers w:val="0"/>
        <w:spacing w:before="372" w:beforeAutospacing="0" w:after="0" w:afterAutospacing="0" w:line="360" w:lineRule="auto"/>
        <w:ind w:right="0"/>
        <w:jc w:val="center"/>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5D1060AF">
      <w:pPr>
        <w:pStyle w:val="16"/>
        <w:keepNext w:val="0"/>
        <w:keepLines w:val="0"/>
        <w:widowControl/>
        <w:suppressLineNumbers w:val="0"/>
        <w:spacing w:before="372" w:beforeAutospacing="0" w:after="0" w:afterAutospacing="0" w:line="360" w:lineRule="auto"/>
        <w:ind w:right="0"/>
        <w:jc w:val="both"/>
        <w:outlineLvl w:val="9"/>
        <w:rPr>
          <w:rFonts w:hint="eastAsia" w:ascii="宋体" w:hAnsi="宋体" w:eastAsia="宋体" w:cs="宋体"/>
          <w:b/>
          <w:bCs/>
          <w:i w:val="0"/>
          <w:iCs w:val="0"/>
          <w:color w:val="000000" w:themeColor="text1"/>
          <w:kern w:val="0"/>
          <w:sz w:val="30"/>
          <w:szCs w:val="30"/>
          <w:highlight w:val="none"/>
          <w:lang w:val="zh-CN" w:eastAsia="zh-CN" w:bidi="ar"/>
          <w14:textFill>
            <w14:solidFill>
              <w14:schemeClr w14:val="tx1"/>
            </w14:solidFill>
          </w14:textFill>
        </w:rPr>
      </w:pPr>
    </w:p>
    <w:p w14:paraId="69734EC8">
      <w:pPr>
        <w:keepNext w:val="0"/>
        <w:keepLines w:val="0"/>
        <w:pageBreakBefore w:val="0"/>
        <w:widowControl/>
        <w:kinsoku/>
        <w:wordWrap/>
        <w:overflowPunct/>
        <w:topLinePunct w:val="0"/>
        <w:autoSpaceDE/>
        <w:autoSpaceDN/>
        <w:bidi w:val="0"/>
        <w:adjustRightInd/>
        <w:snapToGrid/>
        <w:spacing w:after="286" w:afterLines="100" w:line="360" w:lineRule="auto"/>
        <w:jc w:val="center"/>
        <w:textAlignment w:val="auto"/>
        <w:outlineLvl w:val="0"/>
        <w:rPr>
          <w:rFonts w:hint="eastAsia" w:ascii="宋体" w:hAnsi="宋体" w:eastAsia="宋体" w:cs="宋体"/>
          <w:b/>
          <w:i w:val="0"/>
          <w:iCs w:val="0"/>
          <w:color w:val="000000" w:themeColor="text1"/>
          <w:kern w:val="0"/>
          <w:sz w:val="30"/>
          <w:szCs w:val="30"/>
          <w:highlight w:val="none"/>
          <w:lang w:bidi="ar"/>
          <w14:textFill>
            <w14:solidFill>
              <w14:schemeClr w14:val="tx1"/>
            </w14:solidFill>
          </w14:textFill>
        </w:rPr>
      </w:pPr>
      <w:bookmarkStart w:id="39" w:name="_Toc10981"/>
      <w:bookmarkStart w:id="40" w:name="_Toc2674"/>
      <w:r>
        <w:rPr>
          <w:rFonts w:hint="eastAsia" w:ascii="宋体" w:hAnsi="宋体" w:cs="宋体"/>
          <w:b/>
          <w:i w:val="0"/>
          <w:iCs w:val="0"/>
          <w:color w:val="000000" w:themeColor="text1"/>
          <w:kern w:val="0"/>
          <w:sz w:val="30"/>
          <w:szCs w:val="30"/>
          <w:highlight w:val="none"/>
          <w:lang w:val="en-US" w:eastAsia="zh-CN" w:bidi="ar"/>
          <w14:textFill>
            <w14:solidFill>
              <w14:schemeClr w14:val="tx1"/>
            </w14:solidFill>
          </w14:textFill>
        </w:rPr>
        <w:t>6-6、</w:t>
      </w:r>
      <w:r>
        <w:rPr>
          <w:rFonts w:hint="eastAsia" w:ascii="宋体" w:hAnsi="宋体" w:eastAsia="宋体" w:cs="宋体"/>
          <w:b/>
          <w:i w:val="0"/>
          <w:iCs w:val="0"/>
          <w:color w:val="000000" w:themeColor="text1"/>
          <w:kern w:val="0"/>
          <w:sz w:val="30"/>
          <w:szCs w:val="30"/>
          <w:highlight w:val="none"/>
          <w:lang w:bidi="ar"/>
          <w14:textFill>
            <w14:solidFill>
              <w14:schemeClr w14:val="tx1"/>
            </w14:solidFill>
          </w14:textFill>
        </w:rPr>
        <w:t>投标保证金凭证和退还投标保证金的信息</w:t>
      </w:r>
      <w:bookmarkEnd w:id="39"/>
      <w:bookmarkEnd w:id="40"/>
    </w:p>
    <w:p w14:paraId="02F7141B">
      <w:pPr>
        <w:pStyle w:val="16"/>
        <w:widowControl/>
        <w:spacing w:before="372" w:line="360" w:lineRule="auto"/>
        <w:ind w:firstLine="240"/>
        <w:jc w:val="center"/>
        <w:outlineLvl w:val="9"/>
        <w:rPr>
          <w:rFonts w:hint="eastAsia"/>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kern w:val="0"/>
          <w:sz w:val="24"/>
          <w:szCs w:val="24"/>
          <w:highlight w:val="none"/>
          <w:lang w:val="zh-CN" w:eastAsia="zh-CN" w:bidi="ar"/>
          <w14:textFill>
            <w14:solidFill>
              <w14:schemeClr w14:val="tx1"/>
            </w14:solidFill>
          </w14:textFill>
        </w:rPr>
        <w:t>（格式供参考）</w:t>
      </w:r>
    </w:p>
    <w:p w14:paraId="2233DD99">
      <w:pPr>
        <w:bidi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项目名称：</w:t>
      </w:r>
      <w:r>
        <w:rPr>
          <w:rFonts w:hint="eastAsia" w:ascii="宋体" w:hAnsi="宋体" w:cs="宋体"/>
          <w:b w:val="0"/>
          <w:color w:val="000000" w:themeColor="text1"/>
          <w:sz w:val="24"/>
          <w:szCs w:val="24"/>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p>
    <w:p w14:paraId="1B138AD9">
      <w:pPr>
        <w:bidi w:val="0"/>
        <w:spacing w:line="360" w:lineRule="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项目编号：</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p>
    <w:tbl>
      <w:tblPr>
        <w:tblStyle w:val="20"/>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0"/>
        <w:gridCol w:w="3480"/>
      </w:tblGrid>
      <w:tr w14:paraId="3CE4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280" w:type="dxa"/>
            <w:gridSpan w:val="2"/>
            <w:noWrap w:val="0"/>
            <w:vAlign w:val="center"/>
          </w:tcPr>
          <w:p w14:paraId="41546264">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名称：</w:t>
            </w:r>
          </w:p>
        </w:tc>
      </w:tr>
      <w:tr w14:paraId="2611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800" w:type="dxa"/>
            <w:noWrap w:val="0"/>
            <w:vAlign w:val="center"/>
          </w:tcPr>
          <w:p w14:paraId="2AE1B595">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递交的保证金金额：（大写） </w:t>
            </w:r>
          </w:p>
        </w:tc>
        <w:tc>
          <w:tcPr>
            <w:tcW w:w="3480" w:type="dxa"/>
            <w:noWrap w:val="0"/>
            <w:vAlign w:val="center"/>
          </w:tcPr>
          <w:p w14:paraId="4D85A835">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小写单位：元） </w:t>
            </w:r>
          </w:p>
        </w:tc>
      </w:tr>
      <w:tr w14:paraId="13AF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280" w:type="dxa"/>
            <w:gridSpan w:val="2"/>
            <w:noWrap w:val="0"/>
            <w:vAlign w:val="center"/>
          </w:tcPr>
          <w:p w14:paraId="0307D65D">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开户银行名称：（写清楚开户银行全称，不能简写。） </w:t>
            </w:r>
          </w:p>
        </w:tc>
      </w:tr>
      <w:tr w14:paraId="63EB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280" w:type="dxa"/>
            <w:gridSpan w:val="2"/>
            <w:noWrap w:val="0"/>
            <w:vAlign w:val="center"/>
          </w:tcPr>
          <w:p w14:paraId="3CFC5A3F">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开户银行账号：</w:t>
            </w:r>
          </w:p>
        </w:tc>
      </w:tr>
      <w:tr w14:paraId="54C7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80" w:type="dxa"/>
            <w:gridSpan w:val="2"/>
            <w:noWrap w:val="0"/>
            <w:vAlign w:val="center"/>
          </w:tcPr>
          <w:p w14:paraId="72554C26">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纳税识别号：</w:t>
            </w:r>
          </w:p>
        </w:tc>
      </w:tr>
      <w:tr w14:paraId="184F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280" w:type="dxa"/>
            <w:gridSpan w:val="2"/>
            <w:noWrap w:val="0"/>
            <w:vAlign w:val="center"/>
          </w:tcPr>
          <w:p w14:paraId="5649BDF8">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地址：</w:t>
            </w:r>
          </w:p>
        </w:tc>
      </w:tr>
      <w:tr w14:paraId="6642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9280" w:type="dxa"/>
            <w:gridSpan w:val="2"/>
            <w:noWrap w:val="0"/>
            <w:vAlign w:val="center"/>
          </w:tcPr>
          <w:p w14:paraId="3A18F588">
            <w:pPr>
              <w:keepNext w:val="0"/>
              <w:keepLines w:val="0"/>
              <w:widowControl/>
              <w:suppressLineNumbers w:val="0"/>
              <w:spacing w:line="360" w:lineRule="auto"/>
              <w:jc w:val="both"/>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联系人：                联系电话：</w:t>
            </w:r>
          </w:p>
        </w:tc>
      </w:tr>
    </w:tbl>
    <w:p w14:paraId="5F129C43">
      <w:pPr>
        <w:keepNext w:val="0"/>
        <w:keepLines w:val="0"/>
        <w:widowControl/>
        <w:suppressLineNumbers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注：以上信息请按要求填写清楚，若填写有误导致保证金不能及时退还，由</w:t>
      </w: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自行承担责任。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2"/>
      </w:tblGrid>
      <w:tr w14:paraId="6D27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6" w:hRule="atLeast"/>
          <w:jc w:val="center"/>
        </w:trPr>
        <w:tc>
          <w:tcPr>
            <w:tcW w:w="8242" w:type="dxa"/>
            <w:noWrap w:val="0"/>
            <w:vAlign w:val="center"/>
          </w:tcPr>
          <w:p w14:paraId="77BF8856">
            <w:pPr>
              <w:keepNext w:val="0"/>
              <w:keepLines w:val="0"/>
              <w:widowControl/>
              <w:suppressLineNumbers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附：</w:t>
            </w:r>
          </w:p>
          <w:p w14:paraId="1131E415">
            <w:pPr>
              <w:keepNext w:val="0"/>
              <w:keepLines w:val="0"/>
              <w:widowControl/>
              <w:suppressLineNumbers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盖章的保证金凭证复印件</w:t>
            </w:r>
          </w:p>
          <w:p w14:paraId="3773ECB2">
            <w:pPr>
              <w:spacing w:line="360" w:lineRule="auto"/>
              <w:jc w:val="cente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p>
        </w:tc>
      </w:tr>
    </w:tbl>
    <w:p w14:paraId="493FBB16">
      <w:pPr>
        <w:tabs>
          <w:tab w:val="left" w:pos="4163"/>
        </w:tabs>
        <w:bidi w:val="0"/>
        <w:jc w:val="left"/>
        <w:rPr>
          <w:rFonts w:hint="default"/>
          <w:color w:val="000000" w:themeColor="text1"/>
          <w:highlight w:val="none"/>
          <w:lang w:val="en-US" w:eastAsia="zh-CN"/>
          <w14:textFill>
            <w14:solidFill>
              <w14:schemeClr w14:val="tx1"/>
            </w14:solidFill>
          </w14:textFill>
        </w:rPr>
      </w:pPr>
    </w:p>
    <w:sectPr>
      <w:headerReference r:id="rId7" w:type="default"/>
      <w:footerReference r:id="rId8" w:type="default"/>
      <w:pgSz w:w="11911" w:h="16838"/>
      <w:pgMar w:top="1134" w:right="1134" w:bottom="1134" w:left="1134" w:header="850" w:footer="992" w:gutter="0"/>
      <w:pgBorders>
        <w:top w:val="none" w:sz="0" w:space="0"/>
        <w:left w:val="none" w:sz="0" w:space="0"/>
        <w:bottom w:val="none" w:sz="0" w:space="0"/>
        <w:right w:val="none" w:sz="0" w:space="0"/>
      </w:pgBorders>
      <w:pgNumType w:fmt="numberInDash"/>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E873838-CE96-4548-8633-F25F54B5F9C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2" w:fontKey="{5AD69213-45BD-4319-9E34-3B73D19443E2}"/>
  </w:font>
  <w:font w:name="仿宋">
    <w:panose1 w:val="02010609060101010101"/>
    <w:charset w:val="86"/>
    <w:family w:val="modern"/>
    <w:pitch w:val="default"/>
    <w:sig w:usb0="800002BF" w:usb1="38CF7CFA" w:usb2="00000016" w:usb3="00000000" w:csb0="00040001" w:csb1="00000000"/>
    <w:embedRegular r:id="rId3" w:fontKey="{0B03385D-36B2-438C-AD13-ACEF9F67CBF2}"/>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embedRegular r:id="rId4" w:fontKey="{A52839BD-41E3-42A6-B36B-3C46C9EED3DA}"/>
  </w:font>
  <w:font w:name="MingLiU">
    <w:panose1 w:val="02020509000000000000"/>
    <w:charset w:val="88"/>
    <w:family w:val="modern"/>
    <w:pitch w:val="default"/>
    <w:sig w:usb0="A00002FF" w:usb1="28CFFCFA" w:usb2="00000016" w:usb3="00000000" w:csb0="00100001" w:csb1="00000000"/>
  </w:font>
  <w:font w:name="Dialog . plain">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5" w:fontKey="{81F9ED32-7A1C-40D0-A40F-BFB7084F562B}"/>
  </w:font>
  <w:font w:name="方正姚体">
    <w:panose1 w:val="02010601030101010101"/>
    <w:charset w:val="86"/>
    <w:family w:val="auto"/>
    <w:pitch w:val="default"/>
    <w:sig w:usb0="00000003" w:usb1="080E0000" w:usb2="00000000" w:usb3="00000000" w:csb0="00040000" w:csb1="00000000"/>
    <w:embedRegular r:id="rId6" w:fontKey="{816A8A4B-E5DC-4B41-8F7C-D7B193420E49}"/>
  </w:font>
  <w:font w:name="??">
    <w:altName w:val="Segoe Print"/>
    <w:panose1 w:val="00000000000000000000"/>
    <w:charset w:val="00"/>
    <w:family w:val="auto"/>
    <w:pitch w:val="default"/>
    <w:sig w:usb0="00000000" w:usb1="00000000" w:usb2="00000000" w:usb3="00000000" w:csb0="00000000" w:csb1="00000000"/>
    <w:embedRegular r:id="rId7" w:fontKey="{79744B6B-9669-4B6B-AE06-592AF5E2DB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FD519">
    <w:pPr>
      <w:pStyle w:val="11"/>
      <w:pBdr>
        <w:top w:val="single" w:color="auto" w:sz="4" w:space="0"/>
      </w:pBdr>
      <w:jc w:val="center"/>
    </w:pPr>
    <w:r>
      <w:rPr>
        <w:rFonts w:hint="eastAsia" w:ascii="黑体" w:hAnsi="黑体" w:eastAsia="黑体" w:cs="黑体"/>
        <w:lang w:val="en-US" w:eastAsia="zh-CN"/>
      </w:rPr>
      <w:t>联系电话：0793-8301797     邮箱：srctzxgs</w:t>
    </w:r>
    <w:r>
      <w:rPr>
        <w:rFonts w:hint="default" w:ascii="Times New Roman" w:hAnsi="Times New Roman" w:eastAsia="黑体" w:cs="Times New Roman"/>
        <w:lang w:val="en-US" w:eastAsia="zh-CN"/>
      </w:rPr>
      <w:t>@</w:t>
    </w:r>
    <w:r>
      <w:rPr>
        <w:rFonts w:hint="eastAsia" w:ascii="黑体" w:hAnsi="黑体" w:eastAsia="黑体" w:cs="黑体"/>
        <w:lang w:val="en-US" w:eastAsia="zh-CN"/>
      </w:rPr>
      <w:t>126.com     地址：江西省上饶市信州区茶圣路169号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1B40C">
    <w:pPr>
      <w:pStyle w:val="11"/>
      <w:pBdr>
        <w:top w:val="single" w:color="auto" w:sz="4" w:space="0"/>
      </w:pBdr>
      <w:jc w:val="center"/>
      <w:rPr>
        <w:rFonts w:hint="eastAsia" w:ascii="黑体" w:hAnsi="黑体" w:eastAsia="黑体" w:cs="黑体"/>
        <w:lang w:val="en-US" w:eastAsia="zh-CN"/>
      </w:rPr>
    </w:pPr>
    <w:r>
      <w:rPr>
        <w:rFonts w:hint="eastAsia" w:ascii="黑体" w:hAnsi="黑体" w:eastAsia="黑体" w:cs="黑体"/>
        <w:lang w:val="en-US" w:eastAsia="zh-CN"/>
      </w:rPr>
      <w:t>联系电话：0793-8301797     邮箱：srctzxgs</w:t>
    </w:r>
    <w:r>
      <w:rPr>
        <w:rFonts w:hint="default" w:ascii="Times New Roman" w:hAnsi="Times New Roman" w:eastAsia="黑体" w:cs="Times New Roman"/>
        <w:lang w:val="en-US" w:eastAsia="zh-CN"/>
      </w:rPr>
      <w:t>@</w:t>
    </w:r>
    <w:r>
      <w:rPr>
        <w:rFonts w:hint="eastAsia" w:ascii="黑体" w:hAnsi="黑体" w:eastAsia="黑体" w:cs="黑体"/>
        <w:lang w:val="en-US" w:eastAsia="zh-CN"/>
      </w:rPr>
      <w:t>126.com     地址：江西省上饶市信州区茶圣路169号</w:t>
    </w:r>
  </w:p>
  <w:p w14:paraId="78101F6A">
    <w:pPr>
      <w:pStyle w:val="11"/>
      <w:pBdr>
        <w:top w:val="single" w:color="auto" w:sz="4" w:space="0"/>
      </w:pBdr>
      <w:jc w:val="both"/>
      <w:rPr>
        <w:rFonts w:hint="eastAsia" w:ascii="黑体" w:hAnsi="黑体" w:eastAsia="黑体" w:cs="黑体"/>
        <w:lang w:val="en-US" w:eastAsia="zh-CN"/>
      </w:rPr>
    </w:pPr>
  </w:p>
  <w:p w14:paraId="31AFF393">
    <w:pPr>
      <w:pStyle w:val="7"/>
      <w:spacing w:line="14" w:lineRule="auto"/>
      <w:rPr>
        <w:rFonts w:hint="default"/>
        <w:sz w:val="20"/>
        <w:lang w:val="en-US"/>
      </w:rPr>
    </w:pPr>
    <w:r>
      <w:rPr>
        <w:rFonts w:hint="default"/>
        <w:sz w:val="20"/>
        <w:lang w:val="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49D45">
    <w:pPr>
      <w:pStyle w:val="11"/>
      <w:pBdr>
        <w:top w:val="single" w:color="auto" w:sz="4" w:space="0"/>
      </w:pBdr>
      <w:jc w:val="center"/>
      <w:rPr>
        <w:rFonts w:hint="eastAsia" w:ascii="黑体" w:hAnsi="黑体" w:eastAsia="黑体" w:cs="黑体"/>
        <w:lang w:val="en-US" w:eastAsia="zh-CN"/>
      </w:rPr>
    </w:pPr>
    <w:r>
      <w:rPr>
        <w:rFonts w:hint="eastAsia" w:ascii="黑体" w:hAnsi="黑体" w:eastAsia="黑体" w:cs="黑体"/>
        <w:lang w:val="en-US" w:eastAsia="zh-CN"/>
      </w:rPr>
      <w:t>联系电话：0793-8301797     邮箱：srctzxgs</w:t>
    </w:r>
    <w:r>
      <w:rPr>
        <w:rFonts w:hint="default" w:ascii="Times New Roman" w:hAnsi="Times New Roman" w:eastAsia="黑体" w:cs="Times New Roman"/>
        <w:lang w:val="en-US" w:eastAsia="zh-CN"/>
      </w:rPr>
      <w:t>@</w:t>
    </w:r>
    <w:r>
      <w:rPr>
        <w:rFonts w:hint="eastAsia" w:ascii="黑体" w:hAnsi="黑体" w:eastAsia="黑体" w:cs="黑体"/>
        <w:lang w:val="en-US" w:eastAsia="zh-CN"/>
      </w:rPr>
      <w:t>126.com     地址：江西省上饶市信州区茶圣路169号</w:t>
    </w:r>
  </w:p>
  <w:p w14:paraId="7F1885B8">
    <w:pPr>
      <w:pStyle w:val="11"/>
      <w:pBdr>
        <w:top w:val="single" w:color="auto" w:sz="4" w:space="0"/>
      </w:pBdr>
      <w:jc w:val="both"/>
      <w:rPr>
        <w:rFonts w:hint="eastAsia" w:ascii="黑体" w:hAnsi="黑体" w:eastAsia="黑体" w:cs="黑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posOffset>2609850</wp:posOffset>
              </wp:positionH>
              <wp:positionV relativeFrom="paragraph">
                <wp:posOffset>29845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F16D8A">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05.5pt;margin-top:2.35pt;height:144pt;width:144pt;mso-position-horizontal-relative:margin;mso-wrap-style:none;z-index:251662336;mso-width-relative:page;mso-height-relative:page;" filled="f" stroked="f" coordsize="21600,21600" o:gfxdata="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ydGzn1QAAAAkBAAAPAAAAAAAAAAEAIAAAACIAAABkcnMvZG93bnJl&#10;di54bWxQSwECFAAUAAAACACHTuJA1fWDnscBAACZAwAADgAAAAAAAAABACAAAAAkAQAAZHJzL2Uy&#10;b0RvYy54bWxQSwUGAAAAAAYABgBZAQAAXQUAAAAA&#10;">
              <v:fill on="f" focussize="0,0"/>
              <v:stroke on="f"/>
              <v:imagedata o:title=""/>
              <o:lock v:ext="edit" aspectratio="f"/>
              <v:textbox inset="0mm,0mm,0mm,0mm" style="mso-fit-shape-to-text:t;">
                <w:txbxContent>
                  <w:p w14:paraId="35F16D8A">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422EB5C4">
    <w:pPr>
      <w:pStyle w:val="7"/>
      <w:spacing w:line="14" w:lineRule="auto"/>
      <w:rPr>
        <w:rFonts w:hint="default"/>
        <w:sz w:val="20"/>
        <w:lang w:val="en-US"/>
      </w:rPr>
    </w:pPr>
    <w:r>
      <w:rPr>
        <w:rFonts w:hint="default"/>
        <w:sz w:val="20"/>
        <w:lang w:val="en-U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D2DA">
    <w:pPr>
      <w:pStyle w:val="11"/>
      <w:pBdr>
        <w:top w:val="single" w:color="auto" w:sz="4" w:space="0"/>
      </w:pBdr>
      <w:jc w:val="center"/>
      <w:rPr>
        <w:rFonts w:hint="eastAsia" w:ascii="黑体" w:hAnsi="黑体" w:eastAsia="黑体" w:cs="黑体"/>
        <w:lang w:val="en-US" w:eastAsia="zh-CN"/>
      </w:rPr>
    </w:pPr>
    <w:r>
      <w:rPr>
        <w:rFonts w:hint="eastAsia" w:ascii="黑体" w:hAnsi="黑体" w:eastAsia="黑体" w:cs="黑体"/>
        <w:lang w:val="en-US" w:eastAsia="zh-CN"/>
      </w:rPr>
      <w:t>联系电话：0793-8301797     邮箱：srctzxgs</w:t>
    </w:r>
    <w:r>
      <w:rPr>
        <w:rFonts w:hint="default" w:ascii="Times New Roman" w:hAnsi="Times New Roman" w:eastAsia="黑体" w:cs="Times New Roman"/>
        <w:lang w:val="en-US" w:eastAsia="zh-CN"/>
      </w:rPr>
      <w:t>@</w:t>
    </w:r>
    <w:r>
      <w:rPr>
        <w:rFonts w:hint="eastAsia" w:ascii="黑体" w:hAnsi="黑体" w:eastAsia="黑体" w:cs="黑体"/>
        <w:lang w:val="en-US" w:eastAsia="zh-CN"/>
      </w:rPr>
      <w:t>126.com     地址：江西省上饶市信州区茶圣路169号</w:t>
    </w:r>
  </w:p>
  <w:p w14:paraId="7FD66F90">
    <w:pPr>
      <w:pStyle w:val="7"/>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E76B1A2">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- 21 -</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jRjec+cBAADH&#10;AwAADgAAAAAAAAABACAAAAAfAQAAZHJzL2Uyb0RvYy54bWxQSwUGAAAAAAYABgBZAQAAeAUAAAAA&#10;">
              <v:fill on="f" focussize="0,0"/>
              <v:stroke on="f" weight="0.5pt"/>
              <v:imagedata o:title=""/>
              <o:lock v:ext="edit" aspectratio="f"/>
              <v:textbox inset="0mm,0mm,0mm,0mm" style="mso-fit-shape-to-text:t;">
                <w:txbxContent>
                  <w:p w14:paraId="6E76B1A2">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D0989">
    <w:pPr>
      <w:pStyle w:val="12"/>
      <w:pBdr>
        <w:bottom w:val="none" w:color="auto" w:sz="0" w:space="1"/>
      </w:pBdr>
      <w:ind w:firstLine="420" w:firstLineChars="200"/>
      <w:jc w:val="left"/>
      <w:rPr>
        <w:rFonts w:hint="eastAsia" w:ascii="黑体" w:hAnsi="黑体" w:eastAsia="黑体" w:cs="黑体"/>
        <w:sz w:val="21"/>
        <w:szCs w:val="21"/>
        <w:lang w:eastAsia="zh-CN"/>
      </w:rPr>
    </w:pPr>
    <w:r>
      <w:rPr>
        <w:rFonts w:hint="eastAsia" w:ascii="黑体" w:hAnsi="黑体" w:eastAsia="黑体" w:cs="黑体"/>
        <w:sz w:val="21"/>
        <w:szCs w:val="21"/>
        <w:lang w:eastAsia="zh-CN"/>
      </w:rPr>
      <w:drawing>
        <wp:anchor distT="0" distB="0" distL="114300" distR="114300" simplePos="0" relativeHeight="251659264" behindDoc="1" locked="0" layoutInCell="1" allowOverlap="1">
          <wp:simplePos x="0" y="0"/>
          <wp:positionH relativeFrom="column">
            <wp:posOffset>-27305</wp:posOffset>
          </wp:positionH>
          <wp:positionV relativeFrom="paragraph">
            <wp:posOffset>-178435</wp:posOffset>
          </wp:positionV>
          <wp:extent cx="645795" cy="539115"/>
          <wp:effectExtent l="0" t="0" r="1905" b="13335"/>
          <wp:wrapNone/>
          <wp:docPr id="2" name="图片 31" descr="69225191251dc2774cf48e330d7d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descr="69225191251dc2774cf48e330d7df56"/>
                  <pic:cNvPicPr>
                    <a:picLocks noChangeAspect="1"/>
                  </pic:cNvPicPr>
                </pic:nvPicPr>
                <pic:blipFill>
                  <a:blip r:embed="rId1"/>
                  <a:stretch>
                    <a:fillRect/>
                  </a:stretch>
                </pic:blipFill>
                <pic:spPr>
                  <a:xfrm>
                    <a:off x="0" y="0"/>
                    <a:ext cx="645795" cy="539115"/>
                  </a:xfrm>
                  <a:prstGeom prst="rect">
                    <a:avLst/>
                  </a:prstGeom>
                  <a:noFill/>
                  <a:ln>
                    <a:noFill/>
                  </a:ln>
                </pic:spPr>
              </pic:pic>
            </a:graphicData>
          </a:graphic>
        </wp:anchor>
      </w:drawing>
    </w:r>
  </w:p>
  <w:p w14:paraId="577A30A7">
    <w:pPr>
      <w:pStyle w:val="12"/>
      <w:pBdr>
        <w:bottom w:val="single" w:color="auto" w:sz="4" w:space="1"/>
      </w:pBdr>
      <w:jc w:val="right"/>
      <w:rPr>
        <w:rFonts w:hAnsi="宋体" w:eastAsia="方正姚体"/>
        <w:sz w:val="21"/>
      </w:rPr>
    </w:pPr>
    <w:r>
      <w:rPr>
        <w:rFonts w:hint="eastAsia" w:ascii="黑体" w:hAnsi="黑体" w:eastAsia="黑体" w:cs="黑体"/>
        <w:sz w:val="20"/>
        <w:szCs w:val="20"/>
        <w:lang w:eastAsia="zh-CN"/>
      </w:rPr>
      <w:t>上饶市城投工程管理咨询有限公司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73D8">
    <w:pPr>
      <w:pStyle w:val="12"/>
      <w:pBdr>
        <w:bottom w:val="none" w:color="auto" w:sz="0" w:space="1"/>
      </w:pBdr>
      <w:ind w:firstLine="420" w:firstLineChars="200"/>
      <w:jc w:val="left"/>
      <w:rPr>
        <w:rFonts w:hint="eastAsia" w:ascii="黑体" w:hAnsi="黑体" w:eastAsia="黑体" w:cs="黑体"/>
        <w:sz w:val="21"/>
        <w:szCs w:val="21"/>
        <w:lang w:eastAsia="zh-CN"/>
      </w:rPr>
    </w:pPr>
    <w:r>
      <w:rPr>
        <w:rFonts w:hint="eastAsia" w:ascii="黑体" w:hAnsi="黑体" w:eastAsia="黑体" w:cs="黑体"/>
        <w:sz w:val="21"/>
        <w:szCs w:val="21"/>
        <w:lang w:eastAsia="zh-CN"/>
      </w:rPr>
      <w:drawing>
        <wp:anchor distT="0" distB="0" distL="114300" distR="114300" simplePos="0" relativeHeight="251660288" behindDoc="1" locked="0" layoutInCell="1" allowOverlap="1">
          <wp:simplePos x="0" y="0"/>
          <wp:positionH relativeFrom="column">
            <wp:posOffset>-27305</wp:posOffset>
          </wp:positionH>
          <wp:positionV relativeFrom="paragraph">
            <wp:posOffset>-178435</wp:posOffset>
          </wp:positionV>
          <wp:extent cx="645795" cy="539115"/>
          <wp:effectExtent l="0" t="0" r="1905" b="13335"/>
          <wp:wrapNone/>
          <wp:docPr id="3" name="图片 32" descr="69225191251dc2774cf48e330d7d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descr="69225191251dc2774cf48e330d7df56"/>
                  <pic:cNvPicPr>
                    <a:picLocks noChangeAspect="1"/>
                  </pic:cNvPicPr>
                </pic:nvPicPr>
                <pic:blipFill>
                  <a:blip r:embed="rId1"/>
                  <a:stretch>
                    <a:fillRect/>
                  </a:stretch>
                </pic:blipFill>
                <pic:spPr>
                  <a:xfrm>
                    <a:off x="0" y="0"/>
                    <a:ext cx="645795" cy="539115"/>
                  </a:xfrm>
                  <a:prstGeom prst="rect">
                    <a:avLst/>
                  </a:prstGeom>
                  <a:noFill/>
                  <a:ln>
                    <a:noFill/>
                  </a:ln>
                </pic:spPr>
              </pic:pic>
            </a:graphicData>
          </a:graphic>
        </wp:anchor>
      </w:drawing>
    </w:r>
  </w:p>
  <w:p w14:paraId="0494C1DC">
    <w:pPr>
      <w:pStyle w:val="12"/>
      <w:pBdr>
        <w:bottom w:val="single" w:color="auto" w:sz="4" w:space="1"/>
      </w:pBdr>
      <w:jc w:val="right"/>
      <w:rPr>
        <w:rFonts w:hAnsi="宋体" w:eastAsia="方正姚体"/>
        <w:sz w:val="21"/>
      </w:rPr>
    </w:pPr>
    <w:r>
      <w:rPr>
        <w:rFonts w:hint="eastAsia" w:ascii="黑体" w:hAnsi="黑体" w:eastAsia="黑体" w:cs="黑体"/>
        <w:sz w:val="20"/>
        <w:szCs w:val="20"/>
        <w:lang w:eastAsia="zh-CN"/>
      </w:rPr>
      <w:t>上饶市城投工程管理咨询有限公司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pPr>
        <w:ind w:left="0" w:leftChars="0" w:firstLine="0" w:firstLineChars="0"/>
      </w:pPr>
      <w:rPr>
        <w:rFonts w:hint="default"/>
      </w:rPr>
    </w:lvl>
  </w:abstractNum>
  <w:abstractNum w:abstractNumId="1">
    <w:nsid w:val="00000001"/>
    <w:multiLevelType w:val="singleLevel"/>
    <w:tmpl w:val="00000001"/>
    <w:lvl w:ilvl="0" w:tentative="0">
      <w:start w:val="1"/>
      <w:numFmt w:val="decimal"/>
      <w:suff w:val="nothing"/>
      <w:lvlText w:val="(%1)"/>
      <w:lvlJc w:val="left"/>
      <w:pPr>
        <w:ind w:left="0" w:leftChars="0" w:firstLine="0" w:firstLineChars="0"/>
      </w:pPr>
      <w:rPr>
        <w:rFonts w:hint="default"/>
        <w:b/>
        <w:bCs/>
      </w:rPr>
    </w:lvl>
  </w:abstractNum>
  <w:abstractNum w:abstractNumId="2">
    <w:nsid w:val="00000002"/>
    <w:multiLevelType w:val="singleLevel"/>
    <w:tmpl w:val="00000002"/>
    <w:lvl w:ilvl="0" w:tentative="0">
      <w:start w:val="1"/>
      <w:numFmt w:val="decimal"/>
      <w:suff w:val="nothing"/>
      <w:lvlText w:val="(%1)"/>
      <w:lvlJc w:val="left"/>
      <w:pPr>
        <w:ind w:left="0" w:leftChars="0" w:firstLine="0" w:firstLineChars="0"/>
      </w:pPr>
      <w:rPr>
        <w:rFonts w:hint="default"/>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5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6026479C"/>
    <w:multiLevelType w:val="singleLevel"/>
    <w:tmpl w:val="6026479C"/>
    <w:lvl w:ilvl="0" w:tentative="0">
      <w:start w:val="2"/>
      <w:numFmt w:val="decimal"/>
      <w:lvlText w:val="%1."/>
      <w:lvlJc w:val="left"/>
      <w:pPr>
        <w:tabs>
          <w:tab w:val="left" w:pos="312"/>
        </w:tabs>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jMDVhNzlkNzcxMDFiMTM0NjhlYTA1Y2Q2MTU1OTAifQ=="/>
  </w:docVars>
  <w:rsids>
    <w:rsidRoot w:val="00172A27"/>
    <w:rsid w:val="000D2F2B"/>
    <w:rsid w:val="00126A05"/>
    <w:rsid w:val="001731D0"/>
    <w:rsid w:val="0026130D"/>
    <w:rsid w:val="002F18FD"/>
    <w:rsid w:val="003C4B14"/>
    <w:rsid w:val="006902F4"/>
    <w:rsid w:val="00692FA7"/>
    <w:rsid w:val="007C777E"/>
    <w:rsid w:val="0105154F"/>
    <w:rsid w:val="01115835"/>
    <w:rsid w:val="01247202"/>
    <w:rsid w:val="0125204F"/>
    <w:rsid w:val="01391E56"/>
    <w:rsid w:val="01710365"/>
    <w:rsid w:val="018F187F"/>
    <w:rsid w:val="019B53E2"/>
    <w:rsid w:val="019F7B6C"/>
    <w:rsid w:val="01C05320"/>
    <w:rsid w:val="01F80A87"/>
    <w:rsid w:val="0206734F"/>
    <w:rsid w:val="021A09FD"/>
    <w:rsid w:val="021B355B"/>
    <w:rsid w:val="021D673F"/>
    <w:rsid w:val="024C4D2E"/>
    <w:rsid w:val="026701F4"/>
    <w:rsid w:val="02796C38"/>
    <w:rsid w:val="02826365"/>
    <w:rsid w:val="02923DB4"/>
    <w:rsid w:val="02A13C61"/>
    <w:rsid w:val="02B75938"/>
    <w:rsid w:val="02D468CF"/>
    <w:rsid w:val="02D74C86"/>
    <w:rsid w:val="02E21339"/>
    <w:rsid w:val="02F52BF0"/>
    <w:rsid w:val="030A3F9E"/>
    <w:rsid w:val="032A758D"/>
    <w:rsid w:val="0354328C"/>
    <w:rsid w:val="03546191"/>
    <w:rsid w:val="036B28C7"/>
    <w:rsid w:val="0398012F"/>
    <w:rsid w:val="03E17915"/>
    <w:rsid w:val="03E65F01"/>
    <w:rsid w:val="040E139A"/>
    <w:rsid w:val="040E6340"/>
    <w:rsid w:val="04155920"/>
    <w:rsid w:val="044A30F0"/>
    <w:rsid w:val="045C2062"/>
    <w:rsid w:val="046F071C"/>
    <w:rsid w:val="047604AD"/>
    <w:rsid w:val="049031F8"/>
    <w:rsid w:val="04BD7D66"/>
    <w:rsid w:val="04EF3743"/>
    <w:rsid w:val="04EF5DFA"/>
    <w:rsid w:val="04F632B0"/>
    <w:rsid w:val="054B464B"/>
    <w:rsid w:val="055567C7"/>
    <w:rsid w:val="05570502"/>
    <w:rsid w:val="055A7363"/>
    <w:rsid w:val="05670A1F"/>
    <w:rsid w:val="059E324C"/>
    <w:rsid w:val="05A21671"/>
    <w:rsid w:val="05C03BB6"/>
    <w:rsid w:val="05DD6DCA"/>
    <w:rsid w:val="05FC24CB"/>
    <w:rsid w:val="05FE23E4"/>
    <w:rsid w:val="06147E59"/>
    <w:rsid w:val="061B2DFE"/>
    <w:rsid w:val="06224324"/>
    <w:rsid w:val="066A5D4B"/>
    <w:rsid w:val="067C4D9F"/>
    <w:rsid w:val="06825418"/>
    <w:rsid w:val="068B56B6"/>
    <w:rsid w:val="068B6268"/>
    <w:rsid w:val="06936FD0"/>
    <w:rsid w:val="06C46E6D"/>
    <w:rsid w:val="06DD27A0"/>
    <w:rsid w:val="06EC66E0"/>
    <w:rsid w:val="06F6442B"/>
    <w:rsid w:val="06F86E33"/>
    <w:rsid w:val="07434552"/>
    <w:rsid w:val="079319F4"/>
    <w:rsid w:val="079C1EB4"/>
    <w:rsid w:val="079E01B6"/>
    <w:rsid w:val="07A75584"/>
    <w:rsid w:val="07CD4764"/>
    <w:rsid w:val="07D42E4A"/>
    <w:rsid w:val="07FB6BDB"/>
    <w:rsid w:val="07FE66CB"/>
    <w:rsid w:val="08031F33"/>
    <w:rsid w:val="08122176"/>
    <w:rsid w:val="081B0EBC"/>
    <w:rsid w:val="08296D5C"/>
    <w:rsid w:val="0840697B"/>
    <w:rsid w:val="084C584B"/>
    <w:rsid w:val="085902D6"/>
    <w:rsid w:val="08672C3E"/>
    <w:rsid w:val="086E68C0"/>
    <w:rsid w:val="08807E93"/>
    <w:rsid w:val="0895002F"/>
    <w:rsid w:val="089B6610"/>
    <w:rsid w:val="08A2799E"/>
    <w:rsid w:val="08C63A40"/>
    <w:rsid w:val="08CE0793"/>
    <w:rsid w:val="09004AA0"/>
    <w:rsid w:val="09120680"/>
    <w:rsid w:val="091A7535"/>
    <w:rsid w:val="091B73B2"/>
    <w:rsid w:val="091D2ACA"/>
    <w:rsid w:val="09301119"/>
    <w:rsid w:val="09841FF8"/>
    <w:rsid w:val="09C41AEC"/>
    <w:rsid w:val="09F04D02"/>
    <w:rsid w:val="0A2A19F9"/>
    <w:rsid w:val="0A3E7253"/>
    <w:rsid w:val="0A592385"/>
    <w:rsid w:val="0A6842D0"/>
    <w:rsid w:val="0AA23CAB"/>
    <w:rsid w:val="0AB507D9"/>
    <w:rsid w:val="0ABF0F26"/>
    <w:rsid w:val="0ABF59FA"/>
    <w:rsid w:val="0B2648B6"/>
    <w:rsid w:val="0B4B6EA9"/>
    <w:rsid w:val="0B4E34C6"/>
    <w:rsid w:val="0B71273B"/>
    <w:rsid w:val="0B9720B7"/>
    <w:rsid w:val="0BB262B4"/>
    <w:rsid w:val="0BBE49FD"/>
    <w:rsid w:val="0BDD07B4"/>
    <w:rsid w:val="0C1666D9"/>
    <w:rsid w:val="0C3E18BB"/>
    <w:rsid w:val="0C436DA2"/>
    <w:rsid w:val="0C517711"/>
    <w:rsid w:val="0C94329F"/>
    <w:rsid w:val="0CAF0888"/>
    <w:rsid w:val="0CD143AE"/>
    <w:rsid w:val="0CF364CE"/>
    <w:rsid w:val="0D1F511A"/>
    <w:rsid w:val="0D2676A2"/>
    <w:rsid w:val="0D3B7277"/>
    <w:rsid w:val="0D42705A"/>
    <w:rsid w:val="0D5010E1"/>
    <w:rsid w:val="0D705975"/>
    <w:rsid w:val="0DA73361"/>
    <w:rsid w:val="0DB371E7"/>
    <w:rsid w:val="0DC76669"/>
    <w:rsid w:val="0DEF454B"/>
    <w:rsid w:val="0E104E0D"/>
    <w:rsid w:val="0E1C5AFD"/>
    <w:rsid w:val="0E3946B4"/>
    <w:rsid w:val="0E3A6D7A"/>
    <w:rsid w:val="0E5057A5"/>
    <w:rsid w:val="0E817843"/>
    <w:rsid w:val="0EB61DAC"/>
    <w:rsid w:val="0ECA2A51"/>
    <w:rsid w:val="0EDB7766"/>
    <w:rsid w:val="0EFD148A"/>
    <w:rsid w:val="0EFD592E"/>
    <w:rsid w:val="0F055BCD"/>
    <w:rsid w:val="0F211C8F"/>
    <w:rsid w:val="0F262659"/>
    <w:rsid w:val="0F294D6C"/>
    <w:rsid w:val="0F5E7E3E"/>
    <w:rsid w:val="0F5F2145"/>
    <w:rsid w:val="0F824086"/>
    <w:rsid w:val="0F873108"/>
    <w:rsid w:val="0FA16E85"/>
    <w:rsid w:val="0FB10A42"/>
    <w:rsid w:val="0FCD5301"/>
    <w:rsid w:val="0FE148ED"/>
    <w:rsid w:val="0FFA52EF"/>
    <w:rsid w:val="10001A61"/>
    <w:rsid w:val="100F0DAD"/>
    <w:rsid w:val="10137501"/>
    <w:rsid w:val="102173FB"/>
    <w:rsid w:val="10247C18"/>
    <w:rsid w:val="103A079A"/>
    <w:rsid w:val="105251F4"/>
    <w:rsid w:val="105261C5"/>
    <w:rsid w:val="10596B94"/>
    <w:rsid w:val="10641879"/>
    <w:rsid w:val="106D43EE"/>
    <w:rsid w:val="108D6C3F"/>
    <w:rsid w:val="10C82756"/>
    <w:rsid w:val="10D55736"/>
    <w:rsid w:val="10D95721"/>
    <w:rsid w:val="10E17A6C"/>
    <w:rsid w:val="10E812B6"/>
    <w:rsid w:val="10ED125E"/>
    <w:rsid w:val="10F66AD9"/>
    <w:rsid w:val="110C3C07"/>
    <w:rsid w:val="11131442"/>
    <w:rsid w:val="111C6C50"/>
    <w:rsid w:val="11A04D79"/>
    <w:rsid w:val="11B5604C"/>
    <w:rsid w:val="11BF511D"/>
    <w:rsid w:val="11D861DF"/>
    <w:rsid w:val="11EB5F12"/>
    <w:rsid w:val="11F9481D"/>
    <w:rsid w:val="120854E2"/>
    <w:rsid w:val="120C48EC"/>
    <w:rsid w:val="1218472E"/>
    <w:rsid w:val="121978B6"/>
    <w:rsid w:val="1241053A"/>
    <w:rsid w:val="12692E2A"/>
    <w:rsid w:val="12814078"/>
    <w:rsid w:val="128D6183"/>
    <w:rsid w:val="12C828BC"/>
    <w:rsid w:val="12C82F5F"/>
    <w:rsid w:val="12EC7C31"/>
    <w:rsid w:val="12EF1689"/>
    <w:rsid w:val="13192FDD"/>
    <w:rsid w:val="13200EB6"/>
    <w:rsid w:val="13254194"/>
    <w:rsid w:val="13275AD4"/>
    <w:rsid w:val="132D4308"/>
    <w:rsid w:val="13386F35"/>
    <w:rsid w:val="135956F2"/>
    <w:rsid w:val="135D3F8A"/>
    <w:rsid w:val="13610A9F"/>
    <w:rsid w:val="13745651"/>
    <w:rsid w:val="13821260"/>
    <w:rsid w:val="13837725"/>
    <w:rsid w:val="1390141A"/>
    <w:rsid w:val="13BA2040"/>
    <w:rsid w:val="13E04109"/>
    <w:rsid w:val="13E42C19"/>
    <w:rsid w:val="141D612B"/>
    <w:rsid w:val="14316E76"/>
    <w:rsid w:val="14434243"/>
    <w:rsid w:val="14476C53"/>
    <w:rsid w:val="145C7732"/>
    <w:rsid w:val="146B158C"/>
    <w:rsid w:val="149208C7"/>
    <w:rsid w:val="149A40E3"/>
    <w:rsid w:val="14A349CC"/>
    <w:rsid w:val="14C67113"/>
    <w:rsid w:val="14F43330"/>
    <w:rsid w:val="15004D05"/>
    <w:rsid w:val="1507047F"/>
    <w:rsid w:val="15100ED6"/>
    <w:rsid w:val="15267261"/>
    <w:rsid w:val="152D239E"/>
    <w:rsid w:val="153C18E5"/>
    <w:rsid w:val="153E27FD"/>
    <w:rsid w:val="15563651"/>
    <w:rsid w:val="1568787A"/>
    <w:rsid w:val="15737A6F"/>
    <w:rsid w:val="15A476ED"/>
    <w:rsid w:val="15CC42B0"/>
    <w:rsid w:val="15CD56CF"/>
    <w:rsid w:val="16133C89"/>
    <w:rsid w:val="16286488"/>
    <w:rsid w:val="162A0954"/>
    <w:rsid w:val="163B0AEA"/>
    <w:rsid w:val="166221AA"/>
    <w:rsid w:val="16705BD3"/>
    <w:rsid w:val="1675224E"/>
    <w:rsid w:val="167852A0"/>
    <w:rsid w:val="168D4CE4"/>
    <w:rsid w:val="16B33343"/>
    <w:rsid w:val="16C6779A"/>
    <w:rsid w:val="16DB47A7"/>
    <w:rsid w:val="16E42F30"/>
    <w:rsid w:val="17000D36"/>
    <w:rsid w:val="170969C2"/>
    <w:rsid w:val="17312517"/>
    <w:rsid w:val="1740285C"/>
    <w:rsid w:val="174114FC"/>
    <w:rsid w:val="17457E73"/>
    <w:rsid w:val="17A02EDF"/>
    <w:rsid w:val="17A24BE8"/>
    <w:rsid w:val="17A321D2"/>
    <w:rsid w:val="17B172B6"/>
    <w:rsid w:val="1830679A"/>
    <w:rsid w:val="18557B46"/>
    <w:rsid w:val="18686F38"/>
    <w:rsid w:val="18700F1F"/>
    <w:rsid w:val="18A1732B"/>
    <w:rsid w:val="18A961DF"/>
    <w:rsid w:val="18AC4D9F"/>
    <w:rsid w:val="18E13BCB"/>
    <w:rsid w:val="18EF0A88"/>
    <w:rsid w:val="1903317B"/>
    <w:rsid w:val="19087025"/>
    <w:rsid w:val="192077FD"/>
    <w:rsid w:val="19436634"/>
    <w:rsid w:val="194D74B2"/>
    <w:rsid w:val="19537A34"/>
    <w:rsid w:val="19823A22"/>
    <w:rsid w:val="19AB2BBB"/>
    <w:rsid w:val="19B60BB4"/>
    <w:rsid w:val="19C41A1F"/>
    <w:rsid w:val="19F53DD2"/>
    <w:rsid w:val="1A3B730B"/>
    <w:rsid w:val="1A450189"/>
    <w:rsid w:val="1A4D24F4"/>
    <w:rsid w:val="1A516B2E"/>
    <w:rsid w:val="1A7867B1"/>
    <w:rsid w:val="1A7D5B75"/>
    <w:rsid w:val="1A862984"/>
    <w:rsid w:val="1A892140"/>
    <w:rsid w:val="1AA749A0"/>
    <w:rsid w:val="1ABF6DC2"/>
    <w:rsid w:val="1AC15BDE"/>
    <w:rsid w:val="1AC8630D"/>
    <w:rsid w:val="1AFE73B1"/>
    <w:rsid w:val="1B091463"/>
    <w:rsid w:val="1B152722"/>
    <w:rsid w:val="1B1E55A1"/>
    <w:rsid w:val="1B235619"/>
    <w:rsid w:val="1B2A714F"/>
    <w:rsid w:val="1B2D0405"/>
    <w:rsid w:val="1B3A75C2"/>
    <w:rsid w:val="1B6D131F"/>
    <w:rsid w:val="1B754712"/>
    <w:rsid w:val="1B7B0307"/>
    <w:rsid w:val="1B844346"/>
    <w:rsid w:val="1B8C5B50"/>
    <w:rsid w:val="1B9F6522"/>
    <w:rsid w:val="1BCB46BE"/>
    <w:rsid w:val="1BDD5E8E"/>
    <w:rsid w:val="1C05235F"/>
    <w:rsid w:val="1C227DDA"/>
    <w:rsid w:val="1C287D92"/>
    <w:rsid w:val="1C335749"/>
    <w:rsid w:val="1C523FDB"/>
    <w:rsid w:val="1C833CE3"/>
    <w:rsid w:val="1C9378D2"/>
    <w:rsid w:val="1CAF4A81"/>
    <w:rsid w:val="1CC0714B"/>
    <w:rsid w:val="1CC222F3"/>
    <w:rsid w:val="1CF70C86"/>
    <w:rsid w:val="1D003410"/>
    <w:rsid w:val="1D0059C8"/>
    <w:rsid w:val="1D04099F"/>
    <w:rsid w:val="1D3833BB"/>
    <w:rsid w:val="1D477D8B"/>
    <w:rsid w:val="1D82304D"/>
    <w:rsid w:val="1D8E5CC9"/>
    <w:rsid w:val="1DB12E28"/>
    <w:rsid w:val="1DC53ABB"/>
    <w:rsid w:val="1DCD471E"/>
    <w:rsid w:val="1DE5415D"/>
    <w:rsid w:val="1DEC54EC"/>
    <w:rsid w:val="1DF22373"/>
    <w:rsid w:val="1DF42207"/>
    <w:rsid w:val="1E150416"/>
    <w:rsid w:val="1E804FAB"/>
    <w:rsid w:val="1E9C2260"/>
    <w:rsid w:val="1E9F430C"/>
    <w:rsid w:val="1EF20CDF"/>
    <w:rsid w:val="1F01372F"/>
    <w:rsid w:val="1F05089E"/>
    <w:rsid w:val="1F100D66"/>
    <w:rsid w:val="1F1D7922"/>
    <w:rsid w:val="1F2927A9"/>
    <w:rsid w:val="1F44168B"/>
    <w:rsid w:val="1F510363"/>
    <w:rsid w:val="1F62362B"/>
    <w:rsid w:val="1F810745"/>
    <w:rsid w:val="1F846475"/>
    <w:rsid w:val="1F9574BD"/>
    <w:rsid w:val="1FA85109"/>
    <w:rsid w:val="1FC57FA9"/>
    <w:rsid w:val="20BB537A"/>
    <w:rsid w:val="20D51E6C"/>
    <w:rsid w:val="20F549A0"/>
    <w:rsid w:val="210013D9"/>
    <w:rsid w:val="21052421"/>
    <w:rsid w:val="21172C6B"/>
    <w:rsid w:val="21221225"/>
    <w:rsid w:val="213E2DF2"/>
    <w:rsid w:val="21555AD5"/>
    <w:rsid w:val="215A451A"/>
    <w:rsid w:val="215A6219"/>
    <w:rsid w:val="216334FD"/>
    <w:rsid w:val="21686EA6"/>
    <w:rsid w:val="21AA4E00"/>
    <w:rsid w:val="21E5448C"/>
    <w:rsid w:val="22056B7C"/>
    <w:rsid w:val="222D7574"/>
    <w:rsid w:val="22372AAE"/>
    <w:rsid w:val="22681A84"/>
    <w:rsid w:val="226F1B7F"/>
    <w:rsid w:val="227F355F"/>
    <w:rsid w:val="229A22C5"/>
    <w:rsid w:val="22A424CA"/>
    <w:rsid w:val="22B12860"/>
    <w:rsid w:val="22D1142C"/>
    <w:rsid w:val="22EC1347"/>
    <w:rsid w:val="230D47E8"/>
    <w:rsid w:val="230E7CB2"/>
    <w:rsid w:val="23813BD0"/>
    <w:rsid w:val="23921F84"/>
    <w:rsid w:val="23AC4F78"/>
    <w:rsid w:val="23C30A9D"/>
    <w:rsid w:val="23C860B3"/>
    <w:rsid w:val="23F66812"/>
    <w:rsid w:val="23FC3FAF"/>
    <w:rsid w:val="23FC7B0B"/>
    <w:rsid w:val="240C6AEB"/>
    <w:rsid w:val="2410313A"/>
    <w:rsid w:val="241A667F"/>
    <w:rsid w:val="243870CB"/>
    <w:rsid w:val="243E436E"/>
    <w:rsid w:val="244D5528"/>
    <w:rsid w:val="246F4781"/>
    <w:rsid w:val="24751150"/>
    <w:rsid w:val="25092B4A"/>
    <w:rsid w:val="251B0465"/>
    <w:rsid w:val="253B28B5"/>
    <w:rsid w:val="254F06AA"/>
    <w:rsid w:val="256859FE"/>
    <w:rsid w:val="25783B09"/>
    <w:rsid w:val="25787665"/>
    <w:rsid w:val="257968D3"/>
    <w:rsid w:val="25A476E2"/>
    <w:rsid w:val="25A53E3A"/>
    <w:rsid w:val="25B06DFF"/>
    <w:rsid w:val="25BA7C7E"/>
    <w:rsid w:val="25DF1492"/>
    <w:rsid w:val="25EC3BAF"/>
    <w:rsid w:val="25F4025B"/>
    <w:rsid w:val="25F82554"/>
    <w:rsid w:val="264A1D22"/>
    <w:rsid w:val="26592BF3"/>
    <w:rsid w:val="26610758"/>
    <w:rsid w:val="268D0EEE"/>
    <w:rsid w:val="269F739B"/>
    <w:rsid w:val="26AE2FAD"/>
    <w:rsid w:val="26B31074"/>
    <w:rsid w:val="26B66064"/>
    <w:rsid w:val="26C259C4"/>
    <w:rsid w:val="26C44C0D"/>
    <w:rsid w:val="26FD3FEB"/>
    <w:rsid w:val="27351E17"/>
    <w:rsid w:val="27482143"/>
    <w:rsid w:val="27543A19"/>
    <w:rsid w:val="2797304A"/>
    <w:rsid w:val="27BC430E"/>
    <w:rsid w:val="27C77A46"/>
    <w:rsid w:val="27E07693"/>
    <w:rsid w:val="28377363"/>
    <w:rsid w:val="28544C78"/>
    <w:rsid w:val="285817F8"/>
    <w:rsid w:val="285B2719"/>
    <w:rsid w:val="2864445F"/>
    <w:rsid w:val="28720A90"/>
    <w:rsid w:val="28870368"/>
    <w:rsid w:val="289A15A9"/>
    <w:rsid w:val="28A602E4"/>
    <w:rsid w:val="28C01A4F"/>
    <w:rsid w:val="28C57D43"/>
    <w:rsid w:val="28DD0939"/>
    <w:rsid w:val="29183701"/>
    <w:rsid w:val="2925206A"/>
    <w:rsid w:val="293F6969"/>
    <w:rsid w:val="295305EA"/>
    <w:rsid w:val="29643435"/>
    <w:rsid w:val="297100E0"/>
    <w:rsid w:val="298035C2"/>
    <w:rsid w:val="29805BC8"/>
    <w:rsid w:val="298F0778"/>
    <w:rsid w:val="29AB5BF2"/>
    <w:rsid w:val="29B13490"/>
    <w:rsid w:val="29C25E2E"/>
    <w:rsid w:val="29CB07EB"/>
    <w:rsid w:val="29CC61D1"/>
    <w:rsid w:val="29D37079"/>
    <w:rsid w:val="2A1463D5"/>
    <w:rsid w:val="2A1C09B2"/>
    <w:rsid w:val="2A35660D"/>
    <w:rsid w:val="2A3A52C7"/>
    <w:rsid w:val="2A43002E"/>
    <w:rsid w:val="2A4A08BA"/>
    <w:rsid w:val="2A506E02"/>
    <w:rsid w:val="2A552603"/>
    <w:rsid w:val="2A6401B8"/>
    <w:rsid w:val="2A712F14"/>
    <w:rsid w:val="2AE757DE"/>
    <w:rsid w:val="2AEB2687"/>
    <w:rsid w:val="2B2C517A"/>
    <w:rsid w:val="2B6E6F8C"/>
    <w:rsid w:val="2B895DBE"/>
    <w:rsid w:val="2B8D373E"/>
    <w:rsid w:val="2B961FBA"/>
    <w:rsid w:val="2BB24484"/>
    <w:rsid w:val="2BB46F1D"/>
    <w:rsid w:val="2BD17ACF"/>
    <w:rsid w:val="2BD45776"/>
    <w:rsid w:val="2BFF6DD2"/>
    <w:rsid w:val="2C071743"/>
    <w:rsid w:val="2C106849"/>
    <w:rsid w:val="2C1B19CE"/>
    <w:rsid w:val="2C5028C0"/>
    <w:rsid w:val="2C78282C"/>
    <w:rsid w:val="2C897589"/>
    <w:rsid w:val="2CA451E4"/>
    <w:rsid w:val="2CD60EB5"/>
    <w:rsid w:val="2CE13D42"/>
    <w:rsid w:val="2D3D50FB"/>
    <w:rsid w:val="2D616B3A"/>
    <w:rsid w:val="2D895077"/>
    <w:rsid w:val="2D920179"/>
    <w:rsid w:val="2DB847BE"/>
    <w:rsid w:val="2DEE657A"/>
    <w:rsid w:val="2DFB0DD7"/>
    <w:rsid w:val="2E0221C2"/>
    <w:rsid w:val="2E0279C5"/>
    <w:rsid w:val="2E0D0BF6"/>
    <w:rsid w:val="2E173780"/>
    <w:rsid w:val="2E271C28"/>
    <w:rsid w:val="2E323988"/>
    <w:rsid w:val="2E3D70C3"/>
    <w:rsid w:val="2E4211F7"/>
    <w:rsid w:val="2E6E34C0"/>
    <w:rsid w:val="2E760351"/>
    <w:rsid w:val="2E8163C2"/>
    <w:rsid w:val="2EC4391B"/>
    <w:rsid w:val="2EEF3AA7"/>
    <w:rsid w:val="2EFD6E37"/>
    <w:rsid w:val="2F0101E8"/>
    <w:rsid w:val="2F061C46"/>
    <w:rsid w:val="2F0C496F"/>
    <w:rsid w:val="2F1601E3"/>
    <w:rsid w:val="2F1E2921"/>
    <w:rsid w:val="2F1E34C2"/>
    <w:rsid w:val="2F3C06A3"/>
    <w:rsid w:val="2F7E33E5"/>
    <w:rsid w:val="2FC25B50"/>
    <w:rsid w:val="2FE634F7"/>
    <w:rsid w:val="2FE96B2C"/>
    <w:rsid w:val="2FEE6EA1"/>
    <w:rsid w:val="300F6F84"/>
    <w:rsid w:val="301D1773"/>
    <w:rsid w:val="30323B6F"/>
    <w:rsid w:val="30342C1F"/>
    <w:rsid w:val="307F2116"/>
    <w:rsid w:val="30B91274"/>
    <w:rsid w:val="30E4632A"/>
    <w:rsid w:val="3118167B"/>
    <w:rsid w:val="312A2997"/>
    <w:rsid w:val="3140197F"/>
    <w:rsid w:val="31407C59"/>
    <w:rsid w:val="314D19A6"/>
    <w:rsid w:val="315A2315"/>
    <w:rsid w:val="317D0D6E"/>
    <w:rsid w:val="31A26B03"/>
    <w:rsid w:val="31B71D9B"/>
    <w:rsid w:val="31DD34DD"/>
    <w:rsid w:val="31ED2FBB"/>
    <w:rsid w:val="322E7A29"/>
    <w:rsid w:val="324B5471"/>
    <w:rsid w:val="324E42FB"/>
    <w:rsid w:val="3251410F"/>
    <w:rsid w:val="32670C1B"/>
    <w:rsid w:val="328B1E06"/>
    <w:rsid w:val="329276A5"/>
    <w:rsid w:val="32A65736"/>
    <w:rsid w:val="32B5558F"/>
    <w:rsid w:val="32B83A46"/>
    <w:rsid w:val="32BE185F"/>
    <w:rsid w:val="32C866A7"/>
    <w:rsid w:val="32CF5A77"/>
    <w:rsid w:val="32E627C2"/>
    <w:rsid w:val="32FE389F"/>
    <w:rsid w:val="330D3C4D"/>
    <w:rsid w:val="331020FB"/>
    <w:rsid w:val="33114C55"/>
    <w:rsid w:val="33227143"/>
    <w:rsid w:val="33266132"/>
    <w:rsid w:val="3350397D"/>
    <w:rsid w:val="33544C1D"/>
    <w:rsid w:val="336A750F"/>
    <w:rsid w:val="338C29AB"/>
    <w:rsid w:val="338E684C"/>
    <w:rsid w:val="33A43C09"/>
    <w:rsid w:val="33AB50A9"/>
    <w:rsid w:val="33BA61C5"/>
    <w:rsid w:val="33CF0D98"/>
    <w:rsid w:val="33CF2B46"/>
    <w:rsid w:val="33E10ACB"/>
    <w:rsid w:val="344370C2"/>
    <w:rsid w:val="344D2367"/>
    <w:rsid w:val="34530E2B"/>
    <w:rsid w:val="3461608A"/>
    <w:rsid w:val="347804CB"/>
    <w:rsid w:val="347C4426"/>
    <w:rsid w:val="3489363D"/>
    <w:rsid w:val="348F22D5"/>
    <w:rsid w:val="34CD3127"/>
    <w:rsid w:val="34D859E0"/>
    <w:rsid w:val="34F62354"/>
    <w:rsid w:val="3508465C"/>
    <w:rsid w:val="351F5D4F"/>
    <w:rsid w:val="353C6A59"/>
    <w:rsid w:val="35410E83"/>
    <w:rsid w:val="35660D49"/>
    <w:rsid w:val="356D355A"/>
    <w:rsid w:val="357E2A76"/>
    <w:rsid w:val="35952ADB"/>
    <w:rsid w:val="35A87AF3"/>
    <w:rsid w:val="35B21E65"/>
    <w:rsid w:val="35BC4E16"/>
    <w:rsid w:val="35D95EFE"/>
    <w:rsid w:val="35E3774B"/>
    <w:rsid w:val="35ED6DF6"/>
    <w:rsid w:val="35FC399A"/>
    <w:rsid w:val="364F2936"/>
    <w:rsid w:val="368268CF"/>
    <w:rsid w:val="36B0782A"/>
    <w:rsid w:val="36C86C05"/>
    <w:rsid w:val="36CD6D63"/>
    <w:rsid w:val="36E07655"/>
    <w:rsid w:val="36E1450A"/>
    <w:rsid w:val="36F26C06"/>
    <w:rsid w:val="373125BA"/>
    <w:rsid w:val="373A0C1E"/>
    <w:rsid w:val="374B4BD9"/>
    <w:rsid w:val="37506137"/>
    <w:rsid w:val="37667D6E"/>
    <w:rsid w:val="377736CC"/>
    <w:rsid w:val="377C468F"/>
    <w:rsid w:val="378F70C2"/>
    <w:rsid w:val="37A12549"/>
    <w:rsid w:val="37A17676"/>
    <w:rsid w:val="37B57DD2"/>
    <w:rsid w:val="37BA4D9E"/>
    <w:rsid w:val="37E03B87"/>
    <w:rsid w:val="37E1109A"/>
    <w:rsid w:val="37FA6D76"/>
    <w:rsid w:val="37FB53DB"/>
    <w:rsid w:val="380233F3"/>
    <w:rsid w:val="38160AC0"/>
    <w:rsid w:val="38406B5B"/>
    <w:rsid w:val="38851601"/>
    <w:rsid w:val="389B749B"/>
    <w:rsid w:val="389D5B7A"/>
    <w:rsid w:val="38C06FCA"/>
    <w:rsid w:val="38C2096A"/>
    <w:rsid w:val="38C9412F"/>
    <w:rsid w:val="38D429AD"/>
    <w:rsid w:val="38E726E0"/>
    <w:rsid w:val="390000E2"/>
    <w:rsid w:val="390C4095"/>
    <w:rsid w:val="39205BF2"/>
    <w:rsid w:val="392456E2"/>
    <w:rsid w:val="393A11EA"/>
    <w:rsid w:val="393D3428"/>
    <w:rsid w:val="39425109"/>
    <w:rsid w:val="394D5E45"/>
    <w:rsid w:val="396B6D9F"/>
    <w:rsid w:val="398919E9"/>
    <w:rsid w:val="39902D77"/>
    <w:rsid w:val="39E73F88"/>
    <w:rsid w:val="39F863C4"/>
    <w:rsid w:val="3A06029B"/>
    <w:rsid w:val="3A153CAE"/>
    <w:rsid w:val="3A334F51"/>
    <w:rsid w:val="3A3C7179"/>
    <w:rsid w:val="3A9636DE"/>
    <w:rsid w:val="3AAD34F2"/>
    <w:rsid w:val="3ABC50B4"/>
    <w:rsid w:val="3ABF772B"/>
    <w:rsid w:val="3ACA050B"/>
    <w:rsid w:val="3ADC02A3"/>
    <w:rsid w:val="3AE02050"/>
    <w:rsid w:val="3AFB06C4"/>
    <w:rsid w:val="3B0A02FF"/>
    <w:rsid w:val="3B1A3241"/>
    <w:rsid w:val="3B2319C9"/>
    <w:rsid w:val="3B316358"/>
    <w:rsid w:val="3B8B2AEF"/>
    <w:rsid w:val="3BAA60FF"/>
    <w:rsid w:val="3BC929F0"/>
    <w:rsid w:val="3BED49BB"/>
    <w:rsid w:val="3C017A86"/>
    <w:rsid w:val="3C4D4F50"/>
    <w:rsid w:val="3C5A61D8"/>
    <w:rsid w:val="3C9C3535"/>
    <w:rsid w:val="3CA3114E"/>
    <w:rsid w:val="3CC7248C"/>
    <w:rsid w:val="3CE753A4"/>
    <w:rsid w:val="3CEF6226"/>
    <w:rsid w:val="3CF16541"/>
    <w:rsid w:val="3CF600D2"/>
    <w:rsid w:val="3D036740"/>
    <w:rsid w:val="3D3A24DE"/>
    <w:rsid w:val="3D4D14F3"/>
    <w:rsid w:val="3D5657ED"/>
    <w:rsid w:val="3D7E738B"/>
    <w:rsid w:val="3D87571C"/>
    <w:rsid w:val="3D956631"/>
    <w:rsid w:val="3DA54CDE"/>
    <w:rsid w:val="3DAF5796"/>
    <w:rsid w:val="3DCC6348"/>
    <w:rsid w:val="3DD20930"/>
    <w:rsid w:val="3DEB024D"/>
    <w:rsid w:val="3DEC65C0"/>
    <w:rsid w:val="3E031B42"/>
    <w:rsid w:val="3E0472BD"/>
    <w:rsid w:val="3E3F6B1A"/>
    <w:rsid w:val="3E4F114E"/>
    <w:rsid w:val="3E661BC6"/>
    <w:rsid w:val="3E6A6270"/>
    <w:rsid w:val="3E720C9E"/>
    <w:rsid w:val="3E734A16"/>
    <w:rsid w:val="3EA90437"/>
    <w:rsid w:val="3EAD43CC"/>
    <w:rsid w:val="3EE712AA"/>
    <w:rsid w:val="3F2848CB"/>
    <w:rsid w:val="3F296F22"/>
    <w:rsid w:val="3F3054CD"/>
    <w:rsid w:val="3F724CCD"/>
    <w:rsid w:val="3F7C354F"/>
    <w:rsid w:val="3FA23581"/>
    <w:rsid w:val="3FB234FC"/>
    <w:rsid w:val="3FCA388C"/>
    <w:rsid w:val="3FEA0D08"/>
    <w:rsid w:val="3FF00C4F"/>
    <w:rsid w:val="40235C78"/>
    <w:rsid w:val="408433CE"/>
    <w:rsid w:val="408D6263"/>
    <w:rsid w:val="409E016F"/>
    <w:rsid w:val="40BC6B48"/>
    <w:rsid w:val="40CA43A4"/>
    <w:rsid w:val="40E82A31"/>
    <w:rsid w:val="40F8373D"/>
    <w:rsid w:val="41120248"/>
    <w:rsid w:val="412445C3"/>
    <w:rsid w:val="417116E0"/>
    <w:rsid w:val="418C2076"/>
    <w:rsid w:val="41C31810"/>
    <w:rsid w:val="41F45E6E"/>
    <w:rsid w:val="420E33D3"/>
    <w:rsid w:val="423A6D1A"/>
    <w:rsid w:val="423D15C3"/>
    <w:rsid w:val="424C09B9"/>
    <w:rsid w:val="42580B1E"/>
    <w:rsid w:val="425A366C"/>
    <w:rsid w:val="425B7C9B"/>
    <w:rsid w:val="428230DF"/>
    <w:rsid w:val="428E62C2"/>
    <w:rsid w:val="42A1791F"/>
    <w:rsid w:val="42A541DB"/>
    <w:rsid w:val="42B001BB"/>
    <w:rsid w:val="42CC16AB"/>
    <w:rsid w:val="42D02437"/>
    <w:rsid w:val="430835F9"/>
    <w:rsid w:val="430B16C1"/>
    <w:rsid w:val="430F7403"/>
    <w:rsid w:val="43135D99"/>
    <w:rsid w:val="43482915"/>
    <w:rsid w:val="43792ACE"/>
    <w:rsid w:val="43A044FF"/>
    <w:rsid w:val="43BF0257"/>
    <w:rsid w:val="43E21930"/>
    <w:rsid w:val="43E86C6F"/>
    <w:rsid w:val="440B5E1C"/>
    <w:rsid w:val="44181EA9"/>
    <w:rsid w:val="443F5AC6"/>
    <w:rsid w:val="444F07DA"/>
    <w:rsid w:val="444F4DA5"/>
    <w:rsid w:val="446C618F"/>
    <w:rsid w:val="449C77BB"/>
    <w:rsid w:val="449F72A2"/>
    <w:rsid w:val="451D704F"/>
    <w:rsid w:val="453F400E"/>
    <w:rsid w:val="454D4F16"/>
    <w:rsid w:val="45751A6F"/>
    <w:rsid w:val="45830700"/>
    <w:rsid w:val="45AA1934"/>
    <w:rsid w:val="45BC44EF"/>
    <w:rsid w:val="45BE5498"/>
    <w:rsid w:val="45C759BD"/>
    <w:rsid w:val="45DB35CC"/>
    <w:rsid w:val="45DB537A"/>
    <w:rsid w:val="46084651"/>
    <w:rsid w:val="461266FA"/>
    <w:rsid w:val="462F3918"/>
    <w:rsid w:val="463D06E8"/>
    <w:rsid w:val="465A1AB7"/>
    <w:rsid w:val="465A6BE7"/>
    <w:rsid w:val="46691392"/>
    <w:rsid w:val="467D7DD1"/>
    <w:rsid w:val="469C7E64"/>
    <w:rsid w:val="46D36999"/>
    <w:rsid w:val="46E07263"/>
    <w:rsid w:val="46EB783F"/>
    <w:rsid w:val="47185450"/>
    <w:rsid w:val="473153EB"/>
    <w:rsid w:val="47543E89"/>
    <w:rsid w:val="47573937"/>
    <w:rsid w:val="475C2918"/>
    <w:rsid w:val="476A3037"/>
    <w:rsid w:val="476B6BD2"/>
    <w:rsid w:val="477244E8"/>
    <w:rsid w:val="477A21FC"/>
    <w:rsid w:val="47830603"/>
    <w:rsid w:val="479946AB"/>
    <w:rsid w:val="47A35613"/>
    <w:rsid w:val="47C02A7A"/>
    <w:rsid w:val="47D12ED9"/>
    <w:rsid w:val="47E409FC"/>
    <w:rsid w:val="485500A5"/>
    <w:rsid w:val="485B7070"/>
    <w:rsid w:val="48875A3C"/>
    <w:rsid w:val="48AC74D7"/>
    <w:rsid w:val="48AD31D5"/>
    <w:rsid w:val="48B14AB8"/>
    <w:rsid w:val="48CC6262"/>
    <w:rsid w:val="48D12974"/>
    <w:rsid w:val="48E675B5"/>
    <w:rsid w:val="48F65B56"/>
    <w:rsid w:val="49023BB3"/>
    <w:rsid w:val="4911340D"/>
    <w:rsid w:val="49162A98"/>
    <w:rsid w:val="49220EB5"/>
    <w:rsid w:val="49301E81"/>
    <w:rsid w:val="494A60B6"/>
    <w:rsid w:val="494F120E"/>
    <w:rsid w:val="496164DE"/>
    <w:rsid w:val="497F0713"/>
    <w:rsid w:val="49C958F9"/>
    <w:rsid w:val="4A0D11BF"/>
    <w:rsid w:val="4A2165C6"/>
    <w:rsid w:val="4A286FFC"/>
    <w:rsid w:val="4A5B4CDC"/>
    <w:rsid w:val="4A5C5CE8"/>
    <w:rsid w:val="4A5E4E78"/>
    <w:rsid w:val="4A955D15"/>
    <w:rsid w:val="4AAF1DC2"/>
    <w:rsid w:val="4ABF6C01"/>
    <w:rsid w:val="4ACF0D42"/>
    <w:rsid w:val="4AFB5761"/>
    <w:rsid w:val="4B2A4224"/>
    <w:rsid w:val="4B323B1B"/>
    <w:rsid w:val="4B341954"/>
    <w:rsid w:val="4B645E12"/>
    <w:rsid w:val="4B93550F"/>
    <w:rsid w:val="4B9C6087"/>
    <w:rsid w:val="4BC45398"/>
    <w:rsid w:val="4BF03B4A"/>
    <w:rsid w:val="4BF22243"/>
    <w:rsid w:val="4C07090C"/>
    <w:rsid w:val="4C526ADC"/>
    <w:rsid w:val="4CC6512A"/>
    <w:rsid w:val="4CDF2FE3"/>
    <w:rsid w:val="4CE74F4D"/>
    <w:rsid w:val="4D056093"/>
    <w:rsid w:val="4D094EC3"/>
    <w:rsid w:val="4D09792B"/>
    <w:rsid w:val="4D186EB4"/>
    <w:rsid w:val="4D65092C"/>
    <w:rsid w:val="4D746DF4"/>
    <w:rsid w:val="4D896137"/>
    <w:rsid w:val="4D963B2D"/>
    <w:rsid w:val="4D972284"/>
    <w:rsid w:val="4D9B6D1B"/>
    <w:rsid w:val="4DA0782B"/>
    <w:rsid w:val="4DB00A09"/>
    <w:rsid w:val="4DB47DFA"/>
    <w:rsid w:val="4DCE0306"/>
    <w:rsid w:val="4DD728CB"/>
    <w:rsid w:val="4DD95D49"/>
    <w:rsid w:val="4DE768E7"/>
    <w:rsid w:val="4DF55447"/>
    <w:rsid w:val="4E023D27"/>
    <w:rsid w:val="4E1A5550"/>
    <w:rsid w:val="4E5C0A65"/>
    <w:rsid w:val="4E861861"/>
    <w:rsid w:val="4E8B5D14"/>
    <w:rsid w:val="4E8C5149"/>
    <w:rsid w:val="4E8E539E"/>
    <w:rsid w:val="4EFD178E"/>
    <w:rsid w:val="4F223CE3"/>
    <w:rsid w:val="4F4E5D3C"/>
    <w:rsid w:val="4F525137"/>
    <w:rsid w:val="4F764E5C"/>
    <w:rsid w:val="4FAA61F7"/>
    <w:rsid w:val="4FD7192C"/>
    <w:rsid w:val="4FDA66A3"/>
    <w:rsid w:val="4FDF27B7"/>
    <w:rsid w:val="503C2295"/>
    <w:rsid w:val="5043249A"/>
    <w:rsid w:val="505124C5"/>
    <w:rsid w:val="505521CD"/>
    <w:rsid w:val="505778A4"/>
    <w:rsid w:val="506C1861"/>
    <w:rsid w:val="5075461D"/>
    <w:rsid w:val="50873302"/>
    <w:rsid w:val="50A33062"/>
    <w:rsid w:val="50B304B2"/>
    <w:rsid w:val="50BE5FC4"/>
    <w:rsid w:val="50C769D1"/>
    <w:rsid w:val="50CE6E07"/>
    <w:rsid w:val="511B314C"/>
    <w:rsid w:val="51284F8F"/>
    <w:rsid w:val="51340035"/>
    <w:rsid w:val="5139389D"/>
    <w:rsid w:val="514F1E62"/>
    <w:rsid w:val="517C2524"/>
    <w:rsid w:val="51CD2963"/>
    <w:rsid w:val="51E93AEE"/>
    <w:rsid w:val="52133026"/>
    <w:rsid w:val="524C66C1"/>
    <w:rsid w:val="525A1C6E"/>
    <w:rsid w:val="52672AF8"/>
    <w:rsid w:val="527C4246"/>
    <w:rsid w:val="527C5F52"/>
    <w:rsid w:val="529F5982"/>
    <w:rsid w:val="52C72D7E"/>
    <w:rsid w:val="52D72754"/>
    <w:rsid w:val="52F51698"/>
    <w:rsid w:val="52FA4BD6"/>
    <w:rsid w:val="5311062D"/>
    <w:rsid w:val="53154E3C"/>
    <w:rsid w:val="53195734"/>
    <w:rsid w:val="532E1C4F"/>
    <w:rsid w:val="53332C9A"/>
    <w:rsid w:val="53676F91"/>
    <w:rsid w:val="536D4E93"/>
    <w:rsid w:val="53B733D9"/>
    <w:rsid w:val="53C57DAC"/>
    <w:rsid w:val="53DE3845"/>
    <w:rsid w:val="53E67D0C"/>
    <w:rsid w:val="53F83646"/>
    <w:rsid w:val="540725A0"/>
    <w:rsid w:val="540D367E"/>
    <w:rsid w:val="54474F1B"/>
    <w:rsid w:val="54520EFE"/>
    <w:rsid w:val="54525640"/>
    <w:rsid w:val="545F7ABE"/>
    <w:rsid w:val="547239C4"/>
    <w:rsid w:val="54A51975"/>
    <w:rsid w:val="54BF40B9"/>
    <w:rsid w:val="54C452E9"/>
    <w:rsid w:val="54CD5C48"/>
    <w:rsid w:val="54DA2504"/>
    <w:rsid w:val="54F41FB5"/>
    <w:rsid w:val="55086FD1"/>
    <w:rsid w:val="55431AC8"/>
    <w:rsid w:val="556C2493"/>
    <w:rsid w:val="556C3573"/>
    <w:rsid w:val="557C1FAA"/>
    <w:rsid w:val="55827329"/>
    <w:rsid w:val="55872E29"/>
    <w:rsid w:val="55915A56"/>
    <w:rsid w:val="55937DB3"/>
    <w:rsid w:val="559F40DB"/>
    <w:rsid w:val="55C71477"/>
    <w:rsid w:val="55C8280E"/>
    <w:rsid w:val="55E869EF"/>
    <w:rsid w:val="56091A90"/>
    <w:rsid w:val="561D2C04"/>
    <w:rsid w:val="561D7CA9"/>
    <w:rsid w:val="566B5137"/>
    <w:rsid w:val="569C7FF0"/>
    <w:rsid w:val="56B2302B"/>
    <w:rsid w:val="56D025AE"/>
    <w:rsid w:val="56D976B4"/>
    <w:rsid w:val="5703744E"/>
    <w:rsid w:val="570C78E3"/>
    <w:rsid w:val="57114321"/>
    <w:rsid w:val="572957ED"/>
    <w:rsid w:val="576D604E"/>
    <w:rsid w:val="57827155"/>
    <w:rsid w:val="578C08A0"/>
    <w:rsid w:val="57934DC0"/>
    <w:rsid w:val="579F6BBB"/>
    <w:rsid w:val="57A06022"/>
    <w:rsid w:val="57AA466A"/>
    <w:rsid w:val="57BE68AA"/>
    <w:rsid w:val="57BF0950"/>
    <w:rsid w:val="57CE4BEA"/>
    <w:rsid w:val="57D909D8"/>
    <w:rsid w:val="580B68A9"/>
    <w:rsid w:val="5813309A"/>
    <w:rsid w:val="58156E12"/>
    <w:rsid w:val="581A12AA"/>
    <w:rsid w:val="58254B7B"/>
    <w:rsid w:val="58296419"/>
    <w:rsid w:val="58397F23"/>
    <w:rsid w:val="583F058B"/>
    <w:rsid w:val="585A65D3"/>
    <w:rsid w:val="58602014"/>
    <w:rsid w:val="588C013C"/>
    <w:rsid w:val="588F3F3B"/>
    <w:rsid w:val="58A311CE"/>
    <w:rsid w:val="58C013B2"/>
    <w:rsid w:val="58C05E98"/>
    <w:rsid w:val="591C14DD"/>
    <w:rsid w:val="593432C8"/>
    <w:rsid w:val="593C27F4"/>
    <w:rsid w:val="593E20F7"/>
    <w:rsid w:val="59471EEC"/>
    <w:rsid w:val="596A0B04"/>
    <w:rsid w:val="5982189B"/>
    <w:rsid w:val="599C702A"/>
    <w:rsid w:val="59A50986"/>
    <w:rsid w:val="59AD46C0"/>
    <w:rsid w:val="59C362CD"/>
    <w:rsid w:val="59C36EE2"/>
    <w:rsid w:val="59D26D36"/>
    <w:rsid w:val="5A3410A5"/>
    <w:rsid w:val="5A386DE8"/>
    <w:rsid w:val="5A405026"/>
    <w:rsid w:val="5A5312B9"/>
    <w:rsid w:val="5A6220B6"/>
    <w:rsid w:val="5A643739"/>
    <w:rsid w:val="5A650C18"/>
    <w:rsid w:val="5A772BA7"/>
    <w:rsid w:val="5AA8742C"/>
    <w:rsid w:val="5AE33BC8"/>
    <w:rsid w:val="5AEB1D6D"/>
    <w:rsid w:val="5AEE25B3"/>
    <w:rsid w:val="5AF251E8"/>
    <w:rsid w:val="5AFA5E4B"/>
    <w:rsid w:val="5B034F0C"/>
    <w:rsid w:val="5B1C78EB"/>
    <w:rsid w:val="5B35414A"/>
    <w:rsid w:val="5B3E175B"/>
    <w:rsid w:val="5B5D4729"/>
    <w:rsid w:val="5B5F03A4"/>
    <w:rsid w:val="5B651076"/>
    <w:rsid w:val="5B7B1973"/>
    <w:rsid w:val="5B99652D"/>
    <w:rsid w:val="5B9E0ECC"/>
    <w:rsid w:val="5BA02E96"/>
    <w:rsid w:val="5BB75A49"/>
    <w:rsid w:val="5BDE12E9"/>
    <w:rsid w:val="5C427C1E"/>
    <w:rsid w:val="5C6E0059"/>
    <w:rsid w:val="5C71213D"/>
    <w:rsid w:val="5C904AAC"/>
    <w:rsid w:val="5CD012AC"/>
    <w:rsid w:val="5CDA23D8"/>
    <w:rsid w:val="5CE15514"/>
    <w:rsid w:val="5CFD1C22"/>
    <w:rsid w:val="5D0962FE"/>
    <w:rsid w:val="5D1F7DEB"/>
    <w:rsid w:val="5D4E3353"/>
    <w:rsid w:val="5D7252ED"/>
    <w:rsid w:val="5D852344"/>
    <w:rsid w:val="5D8C0F26"/>
    <w:rsid w:val="5D8E220C"/>
    <w:rsid w:val="5DA125EC"/>
    <w:rsid w:val="5DA36C6E"/>
    <w:rsid w:val="5DC7295C"/>
    <w:rsid w:val="5DE43D51"/>
    <w:rsid w:val="5DEA5628"/>
    <w:rsid w:val="5DEB7CAB"/>
    <w:rsid w:val="5DF668B8"/>
    <w:rsid w:val="5DF851FE"/>
    <w:rsid w:val="5E0E5507"/>
    <w:rsid w:val="5E257683"/>
    <w:rsid w:val="5E2E375D"/>
    <w:rsid w:val="5E38751D"/>
    <w:rsid w:val="5E3B2A02"/>
    <w:rsid w:val="5E4775F9"/>
    <w:rsid w:val="5E512226"/>
    <w:rsid w:val="5E8425FB"/>
    <w:rsid w:val="5E915932"/>
    <w:rsid w:val="5EF37781"/>
    <w:rsid w:val="5EFB03E4"/>
    <w:rsid w:val="5EFD23AE"/>
    <w:rsid w:val="5F1A0020"/>
    <w:rsid w:val="5F2476BA"/>
    <w:rsid w:val="5F816B3B"/>
    <w:rsid w:val="5F823DC1"/>
    <w:rsid w:val="5F954848"/>
    <w:rsid w:val="5FDC0E1C"/>
    <w:rsid w:val="5FE412D3"/>
    <w:rsid w:val="5FEF1CF6"/>
    <w:rsid w:val="600852FF"/>
    <w:rsid w:val="601E5CCA"/>
    <w:rsid w:val="605D5831"/>
    <w:rsid w:val="60614626"/>
    <w:rsid w:val="60927A6E"/>
    <w:rsid w:val="609B05EB"/>
    <w:rsid w:val="60B349C5"/>
    <w:rsid w:val="60B91793"/>
    <w:rsid w:val="60CE177F"/>
    <w:rsid w:val="60CE6412"/>
    <w:rsid w:val="60D40EEC"/>
    <w:rsid w:val="60D61108"/>
    <w:rsid w:val="61054759"/>
    <w:rsid w:val="610D2C95"/>
    <w:rsid w:val="612C5DD6"/>
    <w:rsid w:val="613A3445"/>
    <w:rsid w:val="613D025D"/>
    <w:rsid w:val="61440F8A"/>
    <w:rsid w:val="61445B9D"/>
    <w:rsid w:val="616D381B"/>
    <w:rsid w:val="619B67EA"/>
    <w:rsid w:val="61B3614E"/>
    <w:rsid w:val="61C2685F"/>
    <w:rsid w:val="61E829FD"/>
    <w:rsid w:val="61FB3FC1"/>
    <w:rsid w:val="61FC345D"/>
    <w:rsid w:val="62415D97"/>
    <w:rsid w:val="62416092"/>
    <w:rsid w:val="624C2BE2"/>
    <w:rsid w:val="625A44B2"/>
    <w:rsid w:val="628045C2"/>
    <w:rsid w:val="629D0130"/>
    <w:rsid w:val="62A80B41"/>
    <w:rsid w:val="62AF0158"/>
    <w:rsid w:val="62B42D58"/>
    <w:rsid w:val="62C05BCC"/>
    <w:rsid w:val="62F14A68"/>
    <w:rsid w:val="62FB30A8"/>
    <w:rsid w:val="6306381E"/>
    <w:rsid w:val="634458AB"/>
    <w:rsid w:val="636E2690"/>
    <w:rsid w:val="637150E5"/>
    <w:rsid w:val="637934F5"/>
    <w:rsid w:val="638766EA"/>
    <w:rsid w:val="639C0AAF"/>
    <w:rsid w:val="63EA73A4"/>
    <w:rsid w:val="63EB32BA"/>
    <w:rsid w:val="63F27D49"/>
    <w:rsid w:val="63F543EA"/>
    <w:rsid w:val="63F55ABD"/>
    <w:rsid w:val="63FD6A7D"/>
    <w:rsid w:val="63FF44D2"/>
    <w:rsid w:val="640F566D"/>
    <w:rsid w:val="641845A3"/>
    <w:rsid w:val="642970E8"/>
    <w:rsid w:val="64552344"/>
    <w:rsid w:val="645A17FB"/>
    <w:rsid w:val="6481595D"/>
    <w:rsid w:val="6491119F"/>
    <w:rsid w:val="64942C2E"/>
    <w:rsid w:val="64990483"/>
    <w:rsid w:val="64E9765C"/>
    <w:rsid w:val="64EB1BCC"/>
    <w:rsid w:val="651C1305"/>
    <w:rsid w:val="65652A5B"/>
    <w:rsid w:val="657F48DD"/>
    <w:rsid w:val="65A478BB"/>
    <w:rsid w:val="65BC6B1F"/>
    <w:rsid w:val="65D200F0"/>
    <w:rsid w:val="65F014CE"/>
    <w:rsid w:val="65F067C8"/>
    <w:rsid w:val="65F90A73"/>
    <w:rsid w:val="660D4CB0"/>
    <w:rsid w:val="66240220"/>
    <w:rsid w:val="66317058"/>
    <w:rsid w:val="665F74AA"/>
    <w:rsid w:val="667A42E4"/>
    <w:rsid w:val="6685567E"/>
    <w:rsid w:val="668D04BB"/>
    <w:rsid w:val="669F36BE"/>
    <w:rsid w:val="66A65C1A"/>
    <w:rsid w:val="66B74785"/>
    <w:rsid w:val="66CF7411"/>
    <w:rsid w:val="66DC545C"/>
    <w:rsid w:val="66E04E0D"/>
    <w:rsid w:val="66E12631"/>
    <w:rsid w:val="66E77BCB"/>
    <w:rsid w:val="67155C81"/>
    <w:rsid w:val="6720245A"/>
    <w:rsid w:val="672262CA"/>
    <w:rsid w:val="677376B1"/>
    <w:rsid w:val="677C0558"/>
    <w:rsid w:val="67993EB0"/>
    <w:rsid w:val="67B232FA"/>
    <w:rsid w:val="67BF0C5B"/>
    <w:rsid w:val="67BF0F4F"/>
    <w:rsid w:val="67E265E5"/>
    <w:rsid w:val="681327A5"/>
    <w:rsid w:val="68172399"/>
    <w:rsid w:val="68437BE0"/>
    <w:rsid w:val="68607312"/>
    <w:rsid w:val="688C42DC"/>
    <w:rsid w:val="689F14E3"/>
    <w:rsid w:val="68A7743F"/>
    <w:rsid w:val="68AA7F48"/>
    <w:rsid w:val="68BD7383"/>
    <w:rsid w:val="68CF02FF"/>
    <w:rsid w:val="68FE4F83"/>
    <w:rsid w:val="691010E3"/>
    <w:rsid w:val="69280027"/>
    <w:rsid w:val="692B454E"/>
    <w:rsid w:val="692D7E3A"/>
    <w:rsid w:val="693E5A9D"/>
    <w:rsid w:val="694030E4"/>
    <w:rsid w:val="694330B3"/>
    <w:rsid w:val="69523752"/>
    <w:rsid w:val="69536E40"/>
    <w:rsid w:val="696E689C"/>
    <w:rsid w:val="69931A7D"/>
    <w:rsid w:val="699549F6"/>
    <w:rsid w:val="69A35AD7"/>
    <w:rsid w:val="69CF08AD"/>
    <w:rsid w:val="69F70240"/>
    <w:rsid w:val="6A020920"/>
    <w:rsid w:val="6A066A76"/>
    <w:rsid w:val="6A3D1BFD"/>
    <w:rsid w:val="6A3D379C"/>
    <w:rsid w:val="6A465BD9"/>
    <w:rsid w:val="6A5C61DA"/>
    <w:rsid w:val="6A785960"/>
    <w:rsid w:val="6A874237"/>
    <w:rsid w:val="6AE1423C"/>
    <w:rsid w:val="6AF63ACC"/>
    <w:rsid w:val="6B1F5596"/>
    <w:rsid w:val="6B2B5125"/>
    <w:rsid w:val="6B52727C"/>
    <w:rsid w:val="6B5420F1"/>
    <w:rsid w:val="6B594C38"/>
    <w:rsid w:val="6B5975CA"/>
    <w:rsid w:val="6B6E4DC8"/>
    <w:rsid w:val="6B746062"/>
    <w:rsid w:val="6B910106"/>
    <w:rsid w:val="6BBF3BCF"/>
    <w:rsid w:val="6BC8789F"/>
    <w:rsid w:val="6BD3309C"/>
    <w:rsid w:val="6BEC058A"/>
    <w:rsid w:val="6BFF59B7"/>
    <w:rsid w:val="6C2D29AA"/>
    <w:rsid w:val="6C3F3B3F"/>
    <w:rsid w:val="6C5A3EAF"/>
    <w:rsid w:val="6C6E6699"/>
    <w:rsid w:val="6C755C79"/>
    <w:rsid w:val="6C8F3154"/>
    <w:rsid w:val="6C97135F"/>
    <w:rsid w:val="6C9F0A05"/>
    <w:rsid w:val="6CDA091B"/>
    <w:rsid w:val="6CF070AE"/>
    <w:rsid w:val="6CFF175E"/>
    <w:rsid w:val="6D037446"/>
    <w:rsid w:val="6D2F5E28"/>
    <w:rsid w:val="6D3D3794"/>
    <w:rsid w:val="6D4636FD"/>
    <w:rsid w:val="6D582B5E"/>
    <w:rsid w:val="6D6726E1"/>
    <w:rsid w:val="6D943EDD"/>
    <w:rsid w:val="6DA41EAA"/>
    <w:rsid w:val="6E027099"/>
    <w:rsid w:val="6E4648A7"/>
    <w:rsid w:val="6E4C2C29"/>
    <w:rsid w:val="6E674849"/>
    <w:rsid w:val="6E8E03AF"/>
    <w:rsid w:val="6EA470E4"/>
    <w:rsid w:val="6EB365E5"/>
    <w:rsid w:val="6EC43E39"/>
    <w:rsid w:val="6EE967B9"/>
    <w:rsid w:val="6EF2710D"/>
    <w:rsid w:val="6F1145E5"/>
    <w:rsid w:val="6F294F03"/>
    <w:rsid w:val="6F451933"/>
    <w:rsid w:val="6F5E1E54"/>
    <w:rsid w:val="6F653BE3"/>
    <w:rsid w:val="6F834209"/>
    <w:rsid w:val="6FAA14D6"/>
    <w:rsid w:val="6FC10751"/>
    <w:rsid w:val="6FC958E4"/>
    <w:rsid w:val="6FCF744E"/>
    <w:rsid w:val="6FD06D1A"/>
    <w:rsid w:val="6FED119C"/>
    <w:rsid w:val="700009DF"/>
    <w:rsid w:val="700437CB"/>
    <w:rsid w:val="703453C7"/>
    <w:rsid w:val="70467D11"/>
    <w:rsid w:val="707F2342"/>
    <w:rsid w:val="708015FF"/>
    <w:rsid w:val="7080699B"/>
    <w:rsid w:val="70A02102"/>
    <w:rsid w:val="70D7256C"/>
    <w:rsid w:val="70F15002"/>
    <w:rsid w:val="7101188A"/>
    <w:rsid w:val="71124780"/>
    <w:rsid w:val="711D08DD"/>
    <w:rsid w:val="713E3D3A"/>
    <w:rsid w:val="715673E9"/>
    <w:rsid w:val="71593474"/>
    <w:rsid w:val="71610CEB"/>
    <w:rsid w:val="716A295D"/>
    <w:rsid w:val="71905661"/>
    <w:rsid w:val="71C8271D"/>
    <w:rsid w:val="71F907B3"/>
    <w:rsid w:val="720D425E"/>
    <w:rsid w:val="7243796F"/>
    <w:rsid w:val="724539F8"/>
    <w:rsid w:val="725A524F"/>
    <w:rsid w:val="726557BB"/>
    <w:rsid w:val="72711C1F"/>
    <w:rsid w:val="727147ED"/>
    <w:rsid w:val="729F24D5"/>
    <w:rsid w:val="72B71B34"/>
    <w:rsid w:val="72C559BA"/>
    <w:rsid w:val="72DC1507"/>
    <w:rsid w:val="73136418"/>
    <w:rsid w:val="732801AD"/>
    <w:rsid w:val="735A7977"/>
    <w:rsid w:val="738F7621"/>
    <w:rsid w:val="73A01A0E"/>
    <w:rsid w:val="73BF387B"/>
    <w:rsid w:val="73D019E7"/>
    <w:rsid w:val="73E40B52"/>
    <w:rsid w:val="73F05BE5"/>
    <w:rsid w:val="74303DF9"/>
    <w:rsid w:val="743B3304"/>
    <w:rsid w:val="74501C8D"/>
    <w:rsid w:val="74632442"/>
    <w:rsid w:val="749B5C11"/>
    <w:rsid w:val="74A013B9"/>
    <w:rsid w:val="74AA2238"/>
    <w:rsid w:val="74E27C24"/>
    <w:rsid w:val="75003CE4"/>
    <w:rsid w:val="750A3373"/>
    <w:rsid w:val="75625F71"/>
    <w:rsid w:val="756D6417"/>
    <w:rsid w:val="75C13CBB"/>
    <w:rsid w:val="75C90F25"/>
    <w:rsid w:val="75D129F0"/>
    <w:rsid w:val="75D70FE7"/>
    <w:rsid w:val="75F82DA4"/>
    <w:rsid w:val="76166AA7"/>
    <w:rsid w:val="762229CE"/>
    <w:rsid w:val="76280562"/>
    <w:rsid w:val="76377AFB"/>
    <w:rsid w:val="763D68A9"/>
    <w:rsid w:val="7641097A"/>
    <w:rsid w:val="7643377B"/>
    <w:rsid w:val="764F2C13"/>
    <w:rsid w:val="76546D13"/>
    <w:rsid w:val="76727DD2"/>
    <w:rsid w:val="769B3A87"/>
    <w:rsid w:val="76B605C9"/>
    <w:rsid w:val="76C6099F"/>
    <w:rsid w:val="76F31C74"/>
    <w:rsid w:val="76FA7A65"/>
    <w:rsid w:val="76FD79CA"/>
    <w:rsid w:val="77004391"/>
    <w:rsid w:val="773B5DAC"/>
    <w:rsid w:val="77A867B9"/>
    <w:rsid w:val="77D82D6E"/>
    <w:rsid w:val="77ED6045"/>
    <w:rsid w:val="78097E47"/>
    <w:rsid w:val="780B1761"/>
    <w:rsid w:val="783054B1"/>
    <w:rsid w:val="783065FD"/>
    <w:rsid w:val="783531B8"/>
    <w:rsid w:val="786A23B6"/>
    <w:rsid w:val="78790502"/>
    <w:rsid w:val="788B2D70"/>
    <w:rsid w:val="788E14EE"/>
    <w:rsid w:val="789B3B94"/>
    <w:rsid w:val="78A9194E"/>
    <w:rsid w:val="78B17EDD"/>
    <w:rsid w:val="78BA083D"/>
    <w:rsid w:val="78EF0B61"/>
    <w:rsid w:val="790A7BB4"/>
    <w:rsid w:val="790E0E19"/>
    <w:rsid w:val="79224A93"/>
    <w:rsid w:val="792C5242"/>
    <w:rsid w:val="79325E42"/>
    <w:rsid w:val="795344B3"/>
    <w:rsid w:val="797A40C5"/>
    <w:rsid w:val="798C3E70"/>
    <w:rsid w:val="799E4D56"/>
    <w:rsid w:val="79B24069"/>
    <w:rsid w:val="79C46EB6"/>
    <w:rsid w:val="79C51FB3"/>
    <w:rsid w:val="79C72899"/>
    <w:rsid w:val="79EC36DB"/>
    <w:rsid w:val="7A0D233D"/>
    <w:rsid w:val="7A212F9C"/>
    <w:rsid w:val="7A465F7C"/>
    <w:rsid w:val="7A5A4DA1"/>
    <w:rsid w:val="7A714962"/>
    <w:rsid w:val="7A7F1A71"/>
    <w:rsid w:val="7A9D2EE4"/>
    <w:rsid w:val="7AA41AAE"/>
    <w:rsid w:val="7AAC2107"/>
    <w:rsid w:val="7AC83B12"/>
    <w:rsid w:val="7ACE175E"/>
    <w:rsid w:val="7ADB0294"/>
    <w:rsid w:val="7B111F9E"/>
    <w:rsid w:val="7B503B39"/>
    <w:rsid w:val="7B5843C4"/>
    <w:rsid w:val="7B8E2715"/>
    <w:rsid w:val="7BAE0860"/>
    <w:rsid w:val="7BBA0FB3"/>
    <w:rsid w:val="7BC6204F"/>
    <w:rsid w:val="7BCC2EB4"/>
    <w:rsid w:val="7BDE4B40"/>
    <w:rsid w:val="7BE56996"/>
    <w:rsid w:val="7BEE4817"/>
    <w:rsid w:val="7BF41733"/>
    <w:rsid w:val="7C15268D"/>
    <w:rsid w:val="7C18217D"/>
    <w:rsid w:val="7C266648"/>
    <w:rsid w:val="7C853DE8"/>
    <w:rsid w:val="7CAE1DBC"/>
    <w:rsid w:val="7CB7235A"/>
    <w:rsid w:val="7CCF6CE0"/>
    <w:rsid w:val="7CD51E1C"/>
    <w:rsid w:val="7CEC3EE0"/>
    <w:rsid w:val="7D177F5C"/>
    <w:rsid w:val="7D1C7A4B"/>
    <w:rsid w:val="7D5F510F"/>
    <w:rsid w:val="7D641B1E"/>
    <w:rsid w:val="7DA5617A"/>
    <w:rsid w:val="7DA63EE4"/>
    <w:rsid w:val="7DB94E07"/>
    <w:rsid w:val="7DD97708"/>
    <w:rsid w:val="7DED21D1"/>
    <w:rsid w:val="7E124ACD"/>
    <w:rsid w:val="7E1B5787"/>
    <w:rsid w:val="7E374B3D"/>
    <w:rsid w:val="7E390E5E"/>
    <w:rsid w:val="7E5F0DA6"/>
    <w:rsid w:val="7E8D29AE"/>
    <w:rsid w:val="7E9C7095"/>
    <w:rsid w:val="7ED76253"/>
    <w:rsid w:val="7EE770A5"/>
    <w:rsid w:val="7EFF5812"/>
    <w:rsid w:val="7F3C5F72"/>
    <w:rsid w:val="7F446550"/>
    <w:rsid w:val="7F4800C5"/>
    <w:rsid w:val="7F7A671E"/>
    <w:rsid w:val="7FBD72C3"/>
    <w:rsid w:val="7FBE7C23"/>
    <w:rsid w:val="7FD55BD3"/>
    <w:rsid w:val="7FE3588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qFormat/>
    <w:uiPriority w:val="1"/>
    <w:pPr>
      <w:ind w:right="1"/>
      <w:jc w:val="center"/>
      <w:outlineLvl w:val="0"/>
    </w:pPr>
    <w:rPr>
      <w:rFonts w:ascii="黑体" w:hAnsi="黑体" w:eastAsia="黑体" w:cs="黑体"/>
      <w:b/>
      <w:bCs/>
      <w:sz w:val="84"/>
      <w:szCs w:val="84"/>
      <w:lang w:val="zh-CN" w:bidi="zh-CN"/>
    </w:rPr>
  </w:style>
  <w:style w:type="paragraph" w:styleId="3">
    <w:name w:val="heading 2"/>
    <w:basedOn w:val="1"/>
    <w:next w:val="1"/>
    <w:qFormat/>
    <w:uiPriority w:val="0"/>
    <w:pPr>
      <w:keepNext/>
      <w:keepLines/>
      <w:spacing w:line="360" w:lineRule="auto"/>
      <w:jc w:val="center"/>
      <w:outlineLvl w:val="1"/>
    </w:pPr>
    <w:rPr>
      <w:rFonts w:ascii="Arial" w:hAnsi="Arial" w:eastAsia="黑体"/>
      <w:b/>
      <w:bCs/>
      <w:kern w:val="0"/>
      <w:sz w:val="32"/>
      <w:szCs w:val="32"/>
    </w:rPr>
  </w:style>
  <w:style w:type="paragraph" w:styleId="4">
    <w:name w:val="heading 3"/>
    <w:basedOn w:val="1"/>
    <w:next w:val="1"/>
    <w:qFormat/>
    <w:uiPriority w:val="1"/>
    <w:pPr>
      <w:ind w:left="698"/>
      <w:outlineLvl w:val="2"/>
    </w:pPr>
    <w:rPr>
      <w:rFonts w:ascii="宋体" w:hAnsi="宋体" w:eastAsia="宋体" w:cs="宋体"/>
      <w:b/>
      <w:bCs/>
      <w:sz w:val="24"/>
      <w:szCs w:val="24"/>
      <w:lang w:val="zh-CN" w:eastAsia="zh-CN" w:bidi="zh-CN"/>
    </w:rPr>
  </w:style>
  <w:style w:type="paragraph" w:styleId="5">
    <w:name w:val="heading 5"/>
    <w:basedOn w:val="1"/>
    <w:next w:val="1"/>
    <w:qFormat/>
    <w:uiPriority w:val="1"/>
    <w:pPr>
      <w:outlineLvl w:val="4"/>
    </w:pPr>
    <w:rPr>
      <w:rFonts w:ascii="宋体" w:hAnsi="宋体" w:cs="宋体"/>
      <w:b/>
      <w:bCs/>
      <w:sz w:val="24"/>
      <w:szCs w:val="24"/>
      <w:lang w:val="zh-CN" w:bidi="zh-CN"/>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0"/>
    <w:pPr>
      <w:ind w:firstLine="420" w:firstLineChars="200"/>
    </w:pPr>
    <w:rPr>
      <w:kern w:val="0"/>
      <w:sz w:val="20"/>
      <w:szCs w:val="24"/>
    </w:rPr>
  </w:style>
  <w:style w:type="paragraph" w:styleId="7">
    <w:name w:val="Body Text"/>
    <w:basedOn w:val="1"/>
    <w:next w:val="1"/>
    <w:qFormat/>
    <w:uiPriority w:val="1"/>
    <w:rPr>
      <w:rFonts w:ascii="宋体" w:hAnsi="宋体" w:cs="宋体"/>
      <w:sz w:val="24"/>
      <w:szCs w:val="24"/>
      <w:lang w:val="zh-CN" w:bidi="zh-CN"/>
    </w:rPr>
  </w:style>
  <w:style w:type="paragraph" w:styleId="8">
    <w:name w:val="Body Text Indent"/>
    <w:basedOn w:val="1"/>
    <w:qFormat/>
    <w:uiPriority w:val="99"/>
    <w:pPr>
      <w:ind w:firstLine="645"/>
    </w:pPr>
    <w:rPr>
      <w:rFonts w:ascii="Arial" w:hAnsi="Arial"/>
      <w:sz w:val="28"/>
    </w:rPr>
  </w:style>
  <w:style w:type="paragraph" w:styleId="9">
    <w:name w:val="Plain Text"/>
    <w:basedOn w:val="1"/>
    <w:qFormat/>
    <w:uiPriority w:val="0"/>
    <w:pPr>
      <w:ind w:firstLine="560" w:firstLineChars="200"/>
    </w:pPr>
    <w:rPr>
      <w:rFonts w:ascii="Calibri" w:hAnsi="Calibri" w:cs="Times New Roman"/>
      <w:szCs w:val="22"/>
    </w:rPr>
  </w:style>
  <w:style w:type="paragraph" w:styleId="10">
    <w:name w:val="Balloon Text"/>
    <w:basedOn w:val="1"/>
    <w:link w:val="37"/>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2"/>
    <w:basedOn w:val="1"/>
    <w:qFormat/>
    <w:uiPriority w:val="0"/>
    <w:pPr>
      <w:spacing w:after="120" w:line="480" w:lineRule="auto"/>
    </w:pPr>
  </w:style>
  <w:style w:type="paragraph" w:styleId="16">
    <w:name w:val="Normal (Web)"/>
    <w:basedOn w:val="1"/>
    <w:qFormat/>
    <w:uiPriority w:val="0"/>
    <w:pPr>
      <w:jc w:val="left"/>
    </w:pPr>
    <w:rPr>
      <w:kern w:val="0"/>
      <w:sz w:val="24"/>
    </w:rPr>
  </w:style>
  <w:style w:type="paragraph" w:styleId="17">
    <w:name w:val="Body Text First Indent"/>
    <w:basedOn w:val="7"/>
    <w:qFormat/>
    <w:uiPriority w:val="0"/>
    <w:pPr>
      <w:spacing w:line="360" w:lineRule="auto"/>
      <w:ind w:firstLine="420"/>
    </w:pPr>
    <w:rPr>
      <w:rFonts w:ascii="宋体" w:hAnsi="宋体" w:eastAsia="宋体" w:cs="Times New Roman"/>
      <w:sz w:val="24"/>
    </w:rPr>
  </w:style>
  <w:style w:type="paragraph" w:styleId="18">
    <w:name w:val="Body Text First Indent 2"/>
    <w:basedOn w:val="8"/>
    <w:next w:val="1"/>
    <w:qFormat/>
    <w:uiPriority w:val="99"/>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style>
  <w:style w:type="character" w:styleId="23">
    <w:name w:val="page number"/>
    <w:qFormat/>
    <w:uiPriority w:val="0"/>
    <w:rPr>
      <w:sz w:val="21"/>
      <w:szCs w:val="21"/>
    </w:rPr>
  </w:style>
  <w:style w:type="character" w:styleId="24">
    <w:name w:val="FollowedHyperlink"/>
    <w:qFormat/>
    <w:uiPriority w:val="0"/>
    <w:rPr>
      <w:color w:val="800080"/>
      <w:u w:val="none"/>
    </w:rPr>
  </w:style>
  <w:style w:type="character" w:styleId="25">
    <w:name w:val="Emphasis"/>
    <w:basedOn w:val="21"/>
    <w:qFormat/>
    <w:uiPriority w:val="0"/>
  </w:style>
  <w:style w:type="character" w:styleId="26">
    <w:name w:val="HTML Definition"/>
    <w:basedOn w:val="21"/>
    <w:qFormat/>
    <w:uiPriority w:val="0"/>
  </w:style>
  <w:style w:type="character" w:styleId="27">
    <w:name w:val="HTML Typewriter"/>
    <w:qFormat/>
    <w:uiPriority w:val="0"/>
    <w:rPr>
      <w:rFonts w:hint="default" w:ascii="monospace" w:hAnsi="monospace" w:eastAsia="monospace" w:cs="monospace"/>
      <w:sz w:val="20"/>
    </w:rPr>
  </w:style>
  <w:style w:type="character" w:styleId="28">
    <w:name w:val="HTML Acronym"/>
    <w:basedOn w:val="21"/>
    <w:qFormat/>
    <w:uiPriority w:val="0"/>
  </w:style>
  <w:style w:type="character" w:styleId="29">
    <w:name w:val="HTML Variable"/>
    <w:basedOn w:val="21"/>
    <w:qFormat/>
    <w:uiPriority w:val="0"/>
  </w:style>
  <w:style w:type="character" w:styleId="30">
    <w:name w:val="Hyperlink"/>
    <w:basedOn w:val="21"/>
    <w:qFormat/>
    <w:uiPriority w:val="0"/>
    <w:rPr>
      <w:color w:val="0000FF"/>
      <w:u w:val="none"/>
    </w:rPr>
  </w:style>
  <w:style w:type="character" w:styleId="31">
    <w:name w:val="HTML Code"/>
    <w:qFormat/>
    <w:uiPriority w:val="0"/>
    <w:rPr>
      <w:rFonts w:hint="default" w:ascii="monospace" w:hAnsi="monospace" w:eastAsia="monospace" w:cs="monospace"/>
      <w:sz w:val="20"/>
    </w:rPr>
  </w:style>
  <w:style w:type="character" w:styleId="32">
    <w:name w:val="annotation reference"/>
    <w:basedOn w:val="21"/>
    <w:unhideWhenUsed/>
    <w:qFormat/>
    <w:uiPriority w:val="99"/>
    <w:rPr>
      <w:sz w:val="21"/>
      <w:szCs w:val="21"/>
    </w:rPr>
  </w:style>
  <w:style w:type="character" w:styleId="33">
    <w:name w:val="HTML Cite"/>
    <w:basedOn w:val="21"/>
    <w:qFormat/>
    <w:uiPriority w:val="0"/>
  </w:style>
  <w:style w:type="character" w:styleId="34">
    <w:name w:val="HTML Keyboard"/>
    <w:qFormat/>
    <w:uiPriority w:val="0"/>
    <w:rPr>
      <w:rFonts w:ascii="monospace" w:hAnsi="monospace" w:eastAsia="monospace" w:cs="monospace"/>
      <w:sz w:val="20"/>
    </w:rPr>
  </w:style>
  <w:style w:type="character" w:styleId="35">
    <w:name w:val="HTML Sample"/>
    <w:qFormat/>
    <w:uiPriority w:val="0"/>
    <w:rPr>
      <w:rFonts w:hint="default" w:ascii="monospace" w:hAnsi="monospace" w:eastAsia="monospace" w:cs="monospace"/>
    </w:rPr>
  </w:style>
  <w:style w:type="paragraph" w:customStyle="1" w:styleId="36">
    <w:name w:val="样式 正文首行缩进 + 首行缩进:  2 字符1 Char Char"/>
    <w:basedOn w:val="1"/>
    <w:qFormat/>
    <w:uiPriority w:val="0"/>
    <w:pPr>
      <w:widowControl w:val="0"/>
      <w:adjustRightInd w:val="0"/>
      <w:spacing w:before="0" w:after="0" w:line="400" w:lineRule="exact"/>
      <w:ind w:firstLine="480" w:firstLineChars="200"/>
      <w:textAlignment w:val="baseline"/>
    </w:pPr>
    <w:rPr>
      <w:rFonts w:ascii="宋体" w:hAnsi="宋体" w:eastAsia="仿宋_GB2312" w:cs="宋体"/>
      <w:color w:val="000000"/>
      <w:kern w:val="2"/>
      <w:sz w:val="26"/>
      <w:szCs w:val="20"/>
      <w:lang w:eastAsia="zh-CN"/>
    </w:rPr>
  </w:style>
  <w:style w:type="character" w:customStyle="1" w:styleId="37">
    <w:name w:val="批注框文本 Char"/>
    <w:link w:val="10"/>
    <w:qFormat/>
    <w:uiPriority w:val="0"/>
    <w:rPr>
      <w:rFonts w:ascii="Calibri" w:hAnsi="Calibri"/>
      <w:kern w:val="2"/>
      <w:sz w:val="18"/>
      <w:szCs w:val="18"/>
    </w:rPr>
  </w:style>
  <w:style w:type="paragraph" w:customStyle="1" w:styleId="3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9">
    <w:name w:val="样式 表格正文 + 两端对齐"/>
    <w:basedOn w:val="1"/>
    <w:next w:val="40"/>
    <w:qFormat/>
    <w:uiPriority w:val="99"/>
    <w:pPr>
      <w:spacing w:line="300" w:lineRule="auto"/>
    </w:pPr>
    <w:rPr>
      <w:sz w:val="24"/>
    </w:rPr>
  </w:style>
  <w:style w:type="paragraph" w:customStyle="1" w:styleId="40">
    <w:name w:val="正文1"/>
    <w:next w:val="41"/>
    <w:qFormat/>
    <w:uiPriority w:val="99"/>
    <w:pPr>
      <w:jc w:val="both"/>
    </w:pPr>
    <w:rPr>
      <w:rFonts w:ascii="Calibri" w:hAnsi="Calibri" w:eastAsia="宋体" w:cs="宋体"/>
      <w:kern w:val="2"/>
      <w:sz w:val="21"/>
      <w:szCs w:val="21"/>
      <w:lang w:val="en-US" w:eastAsia="zh-CN" w:bidi="ar-SA"/>
    </w:rPr>
  </w:style>
  <w:style w:type="paragraph" w:customStyle="1" w:styleId="41">
    <w:name w:val="自动更正"/>
    <w:next w:val="42"/>
    <w:qFormat/>
    <w:uiPriority w:val="99"/>
    <w:pPr>
      <w:widowControl w:val="0"/>
      <w:jc w:val="both"/>
    </w:pPr>
    <w:rPr>
      <w:rFonts w:ascii="Times New Roman" w:hAnsi="Times New Roman" w:eastAsia="等线" w:cs="Times New Roman"/>
      <w:kern w:val="2"/>
      <w:sz w:val="21"/>
      <w:szCs w:val="24"/>
      <w:lang w:val="en-US" w:eastAsia="zh-CN" w:bidi="ar-SA"/>
    </w:rPr>
  </w:style>
  <w:style w:type="paragraph" w:customStyle="1" w:styleId="42">
    <w:name w:val="xl39"/>
    <w:basedOn w:val="1"/>
    <w:next w:val="43"/>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43">
    <w:name w:val="分手多日，近况如何？"/>
    <w:next w:val="1"/>
    <w:qFormat/>
    <w:uiPriority w:val="99"/>
    <w:pPr>
      <w:widowControl w:val="0"/>
      <w:jc w:val="both"/>
    </w:pPr>
    <w:rPr>
      <w:rFonts w:ascii="Times New Roman" w:hAnsi="Times New Roman" w:eastAsia="等线" w:cs="Times New Roman"/>
      <w:sz w:val="21"/>
      <w:lang w:val="en-US" w:eastAsia="zh-CN" w:bidi="ar-SA"/>
    </w:rPr>
  </w:style>
  <w:style w:type="character" w:customStyle="1" w:styleId="44">
    <w:name w:val="layui-layer-tabnow"/>
    <w:qFormat/>
    <w:uiPriority w:val="0"/>
    <w:rPr>
      <w:bdr w:val="single" w:color="CCCCCC" w:sz="4" w:space="0"/>
      <w:shd w:val="clear" w:color="auto" w:fill="FFFFFF"/>
    </w:rPr>
  </w:style>
  <w:style w:type="character" w:customStyle="1" w:styleId="45">
    <w:name w:val="first-child"/>
    <w:basedOn w:val="21"/>
    <w:qFormat/>
    <w:uiPriority w:val="0"/>
  </w:style>
  <w:style w:type="paragraph" w:customStyle="1" w:styleId="46">
    <w:name w:val="cucd-0"/>
    <w:qFormat/>
    <w:uiPriority w:val="0"/>
    <w:pPr>
      <w:spacing w:line="360" w:lineRule="auto"/>
      <w:ind w:firstLine="480" w:firstLineChars="200"/>
    </w:pPr>
    <w:rPr>
      <w:rFonts w:ascii="Times New Roman" w:hAnsi="Times New Roman" w:eastAsia="Times New Roman" w:cs="Times New Roman"/>
      <w:kern w:val="2"/>
      <w:sz w:val="24"/>
      <w:szCs w:val="24"/>
      <w:lang w:val="en-US" w:eastAsia="zh-CN" w:bidi="ar-SA"/>
    </w:rPr>
  </w:style>
  <w:style w:type="paragraph" w:styleId="47">
    <w:name w:val="List Paragraph"/>
    <w:basedOn w:val="1"/>
    <w:qFormat/>
    <w:uiPriority w:val="1"/>
    <w:pPr>
      <w:ind w:left="1303" w:firstLine="480"/>
    </w:pPr>
    <w:rPr>
      <w:rFonts w:ascii="宋体" w:hAnsi="宋体" w:cs="宋体"/>
      <w:lang w:val="zh-CN" w:bidi="zh-CN"/>
    </w:rPr>
  </w:style>
  <w:style w:type="paragraph" w:customStyle="1" w:styleId="48">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49">
    <w:name w:val="正文 A"/>
    <w:qFormat/>
    <w:uiPriority w:val="0"/>
    <w:pPr>
      <w:widowControl w:val="0"/>
      <w:jc w:val="both"/>
    </w:pPr>
    <w:rPr>
      <w:rFonts w:ascii="Times New Roman" w:hAnsi="Arial Unicode MS" w:eastAsia="Arial Unicode MS" w:cs="Arial Unicode MS"/>
      <w:color w:val="000000"/>
      <w:kern w:val="2"/>
      <w:sz w:val="21"/>
      <w:szCs w:val="21"/>
      <w:lang w:val="en-US" w:eastAsia="zh-CN" w:bidi="ar-SA"/>
    </w:rPr>
  </w:style>
  <w:style w:type="paragraph" w:customStyle="1" w:styleId="50">
    <w:name w:val="标题 5（有编号）（绿盟科技）"/>
    <w:basedOn w:val="1"/>
    <w:next w:val="48"/>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51">
    <w:name w:val="Normal_0"/>
    <w:qFormat/>
    <w:uiPriority w:val="0"/>
    <w:rPr>
      <w:rFonts w:ascii="Calibri" w:hAnsi="Calibri" w:eastAsia="宋体" w:cs="Times New Roman"/>
      <w:sz w:val="24"/>
      <w:szCs w:val="24"/>
      <w:lang w:val="en-US" w:eastAsia="zh-CN" w:bidi="ar-SA"/>
    </w:rPr>
  </w:style>
  <w:style w:type="paragraph" w:customStyle="1" w:styleId="52">
    <w:name w:val="纯文本1"/>
    <w:basedOn w:val="1"/>
    <w:qFormat/>
    <w:uiPriority w:val="99"/>
    <w:rPr>
      <w:rFonts w:ascii="宋体" w:hAnsi="Courier New"/>
      <w:kern w:val="0"/>
      <w:sz w:val="20"/>
    </w:rPr>
  </w:style>
  <w:style w:type="paragraph" w:customStyle="1" w:styleId="53">
    <w:name w:val="[Normal]"/>
    <w:qFormat/>
    <w:uiPriority w:val="0"/>
    <w:rPr>
      <w:rFonts w:ascii="宋体" w:hAnsi="宋体" w:eastAsia="宋体" w:cs="Times New Roman"/>
      <w:sz w:val="24"/>
      <w:szCs w:val="22"/>
      <w:lang w:val="zh-CN" w:eastAsia="zh-CN" w:bidi="ar-SA"/>
    </w:rPr>
  </w:style>
  <w:style w:type="paragraph" w:customStyle="1" w:styleId="54">
    <w:name w:val="p0"/>
    <w:basedOn w:val="1"/>
    <w:qFormat/>
    <w:uiPriority w:val="99"/>
    <w:pPr>
      <w:widowControl/>
    </w:pPr>
    <w:rPr>
      <w:kern w:val="0"/>
      <w:szCs w:val="21"/>
    </w:rPr>
  </w:style>
  <w:style w:type="paragraph" w:customStyle="1" w:styleId="55">
    <w:name w:val="Table Paragraph"/>
    <w:basedOn w:val="1"/>
    <w:qFormat/>
    <w:uiPriority w:val="1"/>
    <w:rPr>
      <w:rFonts w:ascii="宋体" w:hAnsi="宋体" w:cs="宋体"/>
      <w:lang w:val="zh-CN" w:bidi="zh-CN"/>
    </w:rPr>
  </w:style>
  <w:style w:type="table" w:customStyle="1" w:styleId="56">
    <w:name w:val="网格型2"/>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7">
    <w:name w:val="正文文本 (2)"/>
    <w:basedOn w:val="21"/>
    <w:qFormat/>
    <w:uiPriority w:val="0"/>
    <w:rPr>
      <w:rFonts w:ascii="MingLiU" w:hAnsi="MingLiU" w:eastAsia="MingLiU" w:cs="MingLiU"/>
      <w:color w:val="000000"/>
      <w:spacing w:val="0"/>
      <w:w w:val="100"/>
      <w:position w:val="0"/>
      <w:sz w:val="17"/>
      <w:szCs w:val="17"/>
      <w:u w:val="none"/>
      <w:lang w:val="zh-CN" w:eastAsia="zh-CN" w:bidi="zh-CN"/>
    </w:rPr>
  </w:style>
  <w:style w:type="table" w:customStyle="1" w:styleId="58">
    <w:name w:val="网格型1"/>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9">
    <w:name w:val="列出段落1"/>
    <w:basedOn w:val="1"/>
    <w:qFormat/>
    <w:uiPriority w:val="34"/>
    <w:pPr>
      <w:ind w:firstLine="420" w:firstLineChars="200"/>
    </w:pPr>
    <w:rPr>
      <w:rFonts w:ascii="Calibri" w:hAnsi="Calibri" w:eastAsia="宋体" w:cs="Times New Roman"/>
    </w:rPr>
  </w:style>
  <w:style w:type="character" w:customStyle="1" w:styleId="60">
    <w:name w:val="font01"/>
    <w:basedOn w:val="21"/>
    <w:qFormat/>
    <w:uiPriority w:val="0"/>
    <w:rPr>
      <w:rFonts w:hint="default" w:ascii="Dialog . plain" w:hAnsi="Dialog . plain" w:eastAsia="Dialog . plain" w:cs="Dialog . plain"/>
      <w:color w:val="000000"/>
      <w:sz w:val="18"/>
      <w:szCs w:val="18"/>
      <w:u w:val="none"/>
    </w:rPr>
  </w:style>
  <w:style w:type="character" w:customStyle="1" w:styleId="61">
    <w:name w:val="font61"/>
    <w:basedOn w:val="21"/>
    <w:qFormat/>
    <w:uiPriority w:val="0"/>
    <w:rPr>
      <w:rFonts w:hint="default" w:ascii="Tahoma" w:hAnsi="Tahoma" w:eastAsia="Tahoma" w:cs="Tahoma"/>
      <w:color w:val="000000"/>
      <w:sz w:val="22"/>
      <w:szCs w:val="22"/>
      <w:u w:val="none"/>
    </w:rPr>
  </w:style>
  <w:style w:type="paragraph" w:customStyle="1" w:styleId="62">
    <w:name w:val="正文缩进1"/>
    <w:basedOn w:val="1"/>
    <w:qFormat/>
    <w:uiPriority w:val="0"/>
    <w:pPr>
      <w:ind w:firstLine="420" w:firstLineChars="200"/>
    </w:pPr>
  </w:style>
  <w:style w:type="table" w:customStyle="1" w:styleId="63">
    <w:name w:val="Table Normal"/>
    <w:unhideWhenUsed/>
    <w:qFormat/>
    <w:uiPriority w:val="0"/>
    <w:tblPr>
      <w:tblCellMar>
        <w:top w:w="0" w:type="dxa"/>
        <w:left w:w="0" w:type="dxa"/>
        <w:bottom w:w="0" w:type="dxa"/>
        <w:right w:w="0" w:type="dxa"/>
      </w:tblCellMar>
    </w:tblPr>
  </w:style>
  <w:style w:type="paragraph" w:customStyle="1" w:styleId="64">
    <w:name w:val="Table Text"/>
    <w:basedOn w:val="1"/>
    <w:semiHidden/>
    <w:qFormat/>
    <w:uiPriority w:val="0"/>
    <w:rPr>
      <w:rFonts w:ascii="Arial" w:hAnsi="Arial" w:eastAsia="Arial" w:cs="Arial"/>
      <w:sz w:val="21"/>
      <w:szCs w:val="21"/>
      <w:lang w:val="en-US" w:eastAsia="en-US" w:bidi="ar-SA"/>
    </w:rPr>
  </w:style>
  <w:style w:type="paragraph" w:customStyle="1" w:styleId="65">
    <w:name w:val="Other|1"/>
    <w:basedOn w:val="1"/>
    <w:qFormat/>
    <w:uiPriority w:val="0"/>
    <w:pPr>
      <w:spacing w:line="273" w:lineRule="exact"/>
    </w:pPr>
    <w:rPr>
      <w:rFonts w:ascii="宋体" w:hAnsi="宋体" w:eastAsia="宋体" w:cs="宋体"/>
      <w:sz w:val="19"/>
      <w:szCs w:val="19"/>
      <w:lang w:val="zh-TW" w:eastAsia="zh-TW" w:bidi="zh-TW"/>
    </w:rPr>
  </w:style>
  <w:style w:type="paragraph" w:customStyle="1" w:styleId="66">
    <w:name w:val="文档正文"/>
    <w:basedOn w:val="1"/>
    <w:qFormat/>
    <w:uiPriority w:val="0"/>
    <w:pPr>
      <w:adjustRightInd w:val="0"/>
      <w:spacing w:line="480" w:lineRule="atLeast"/>
      <w:ind w:firstLine="567"/>
    </w:pPr>
    <w:rPr>
      <w:rFonts w:ascii="仿宋_GB2312" w:eastAsia="仿宋_GB2312"/>
      <w:kern w:val="0"/>
      <w:sz w:val="28"/>
      <w:szCs w:val="20"/>
    </w:rPr>
  </w:style>
  <w:style w:type="paragraph" w:customStyle="1" w:styleId="67">
    <w:name w:val="WPSOffice手动目录 1"/>
    <w:qFormat/>
    <w:uiPriority w:val="0"/>
    <w:pPr>
      <w:ind w:leftChars="0"/>
    </w:pPr>
    <w:rPr>
      <w:rFonts w:ascii="Times New Roman" w:hAnsi="Times New Roman" w:eastAsia="宋体" w:cs="Times New Roman"/>
      <w:sz w:val="20"/>
      <w:szCs w:val="20"/>
    </w:rPr>
  </w:style>
  <w:style w:type="paragraph" w:customStyle="1" w:styleId="68">
    <w:name w:val="Heading2"/>
    <w:next w:val="1"/>
    <w:qFormat/>
    <w:uiPriority w:val="0"/>
    <w:pPr>
      <w:keepNext/>
      <w:keepLines/>
      <w:widowControl w:val="0"/>
      <w:spacing w:before="260" w:after="260" w:line="416" w:lineRule="auto"/>
      <w:jc w:val="both"/>
      <w:textAlignment w:val="baseline"/>
    </w:pPr>
    <w:rPr>
      <w:rFonts w:ascii="Calibri Light" w:hAnsi="Calibri Light" w:eastAsia="宋体" w:cs="Times New Roman"/>
      <w:b/>
      <w:bCs/>
      <w:kern w:val="2"/>
      <w:sz w:val="32"/>
      <w:szCs w:val="32"/>
      <w:lang w:val="en-US" w:eastAsia="zh-CN" w:bidi="ar-SA"/>
    </w:rPr>
  </w:style>
  <w:style w:type="character" w:customStyle="1" w:styleId="69">
    <w:name w:val="font31"/>
    <w:basedOn w:val="21"/>
    <w:qFormat/>
    <w:uiPriority w:val="0"/>
    <w:rPr>
      <w:rFonts w:hint="eastAsia" w:ascii="仿宋" w:hAnsi="仿宋" w:eastAsia="仿宋" w:cs="仿宋"/>
      <w:color w:val="000000"/>
      <w:sz w:val="24"/>
      <w:szCs w:val="24"/>
      <w:u w:val="none"/>
    </w:rPr>
  </w:style>
  <w:style w:type="paragraph" w:customStyle="1" w:styleId="70">
    <w:name w:val="null3"/>
    <w:qFormat/>
    <w:uiPriority w:val="0"/>
    <w:rPr>
      <w:rFonts w:hint="eastAsia" w:ascii="Calibri" w:hAnsi="Calibri" w:eastAsia="宋体" w:cs="Times New Roman"/>
      <w:lang w:val="en-US" w:eastAsia="zh-Hans" w:bidi="ar-SA"/>
    </w:rPr>
  </w:style>
  <w:style w:type="character" w:customStyle="1" w:styleId="71">
    <w:name w:val="font12"/>
    <w:basedOn w:val="21"/>
    <w:qFormat/>
    <w:uiPriority w:val="0"/>
    <w:rPr>
      <w:rFonts w:hint="eastAsia" w:ascii="宋体" w:hAnsi="宋体" w:eastAsia="宋体" w:cs="宋体"/>
      <w:color w:val="000000"/>
      <w:sz w:val="18"/>
      <w:szCs w:val="18"/>
      <w:u w:val="none"/>
    </w:rPr>
  </w:style>
  <w:style w:type="character" w:customStyle="1" w:styleId="72">
    <w:name w:val="font91"/>
    <w:basedOn w:val="21"/>
    <w:qFormat/>
    <w:uiPriority w:val="0"/>
    <w:rPr>
      <w:rFonts w:hint="eastAsia" w:ascii="宋体" w:hAnsi="宋体" w:eastAsia="宋体" w:cs="宋体"/>
      <w:color w:val="FF0000"/>
      <w:sz w:val="18"/>
      <w:szCs w:val="18"/>
      <w:u w:val="none"/>
    </w:rPr>
  </w:style>
  <w:style w:type="character" w:customStyle="1" w:styleId="73">
    <w:name w:val="font101"/>
    <w:basedOn w:val="21"/>
    <w:qFormat/>
    <w:uiPriority w:val="0"/>
    <w:rPr>
      <w:rFonts w:ascii="宋体" w:hAnsi="宋体" w:eastAsia="宋体" w:cs="宋体"/>
      <w:color w:val="FF0000"/>
      <w:sz w:val="18"/>
      <w:szCs w:val="18"/>
      <w:u w:val="none"/>
    </w:rPr>
  </w:style>
  <w:style w:type="character" w:customStyle="1" w:styleId="74">
    <w:name w:val="font111"/>
    <w:basedOn w:val="21"/>
    <w:qFormat/>
    <w:uiPriority w:val="0"/>
    <w:rPr>
      <w:rFonts w:ascii="宋体" w:hAnsi="宋体" w:eastAsia="宋体" w:cs="宋体"/>
      <w:color w:val="000000"/>
      <w:sz w:val="18"/>
      <w:szCs w:val="18"/>
      <w:u w:val="none"/>
    </w:rPr>
  </w:style>
  <w:style w:type="paragraph" w:customStyle="1" w:styleId="75">
    <w:name w:val="Heading 6"/>
    <w:basedOn w:val="1"/>
    <w:qFormat/>
    <w:uiPriority w:val="1"/>
    <w:pPr>
      <w:spacing w:before="14"/>
      <w:jc w:val="left"/>
      <w:outlineLvl w:val="6"/>
    </w:pPr>
    <w:rPr>
      <w:rFonts w:ascii="宋体" w:hAnsi="宋体"/>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3.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53</Pages>
  <Words>6349</Words>
  <Characters>6904</Characters>
  <Lines>200</Lines>
  <Paragraphs>56</Paragraphs>
  <TotalTime>9</TotalTime>
  <ScaleCrop>false</ScaleCrop>
  <LinksUpToDate>false</LinksUpToDate>
  <CharactersWithSpaces>7070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2019-08-01T13:16:00Z</dcterms:created>
  <dc:creator>晗宝宝</dc:creator>
  <cp:lastModifiedBy>善缘娇</cp:lastModifiedBy>
  <cp:lastPrinted>2025-11-19T02:05:00Z</cp:lastPrinted>
  <dcterms:modified xsi:type="dcterms:W3CDTF">2025-11-20T02:11:24Z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6F43C09A4D694E0E96D7F4652368784C_13</vt:lpwstr>
  </property>
  <property fmtid="{D5CDD505-2E9C-101B-9397-08002B2CF9AE}" pid="4" name="KSOTemplateDocerSaveRecord">
    <vt:lpwstr>eyJoZGlkIjoiMDYyZWRlOTNiNmQ5NGVkNzg5MjFjM2JhYmY4ZWMyNTciLCJ1c2VySWQiOiI5ODAxMDA0MDAifQ==</vt:lpwstr>
  </property>
</Properties>
</file>